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FAD5E8">
      <w:pPr>
        <w:widowControl/>
        <w:ind w:firstLine="0" w:firstLineChars="0"/>
        <w:jc w:val="left"/>
        <w:rPr>
          <w:rFonts w:ascii="宋体" w:hAnsi="宋体" w:cs="Times New Roman"/>
          <w:b/>
          <w:sz w:val="48"/>
          <w:szCs w:val="48"/>
          <w:highlight w:val="none"/>
        </w:rPr>
      </w:pPr>
      <w:bookmarkStart w:id="0" w:name="_top"/>
      <w:bookmarkEnd w:id="0"/>
      <w:bookmarkStart w:id="1" w:name="_Toc49527796"/>
    </w:p>
    <w:p w14:paraId="66ED00C4">
      <w:pPr>
        <w:widowControl/>
        <w:ind w:firstLine="0" w:firstLineChars="0"/>
        <w:jc w:val="center"/>
        <w:rPr>
          <w:rFonts w:ascii="黑体" w:hAnsi="黑体" w:eastAsia="黑体" w:cs="Times New Roman"/>
          <w:b/>
          <w:sz w:val="48"/>
          <w:szCs w:val="48"/>
          <w:highlight w:val="none"/>
        </w:rPr>
      </w:pPr>
    </w:p>
    <w:p w14:paraId="2D435717">
      <w:pPr>
        <w:widowControl/>
        <w:ind w:firstLine="0" w:firstLineChars="0"/>
        <w:jc w:val="center"/>
        <w:rPr>
          <w:rFonts w:ascii="黑体" w:hAnsi="黑体" w:eastAsia="黑体" w:cs="Times New Roman"/>
          <w:b/>
          <w:sz w:val="48"/>
          <w:szCs w:val="48"/>
          <w:highlight w:val="none"/>
        </w:rPr>
      </w:pPr>
    </w:p>
    <w:p w14:paraId="71481397">
      <w:pPr>
        <w:widowControl/>
        <w:ind w:firstLine="0" w:firstLineChars="0"/>
        <w:jc w:val="center"/>
        <w:rPr>
          <w:rFonts w:ascii="黑体" w:hAnsi="黑体" w:eastAsia="黑体" w:cs="Times New Roman"/>
          <w:b/>
          <w:sz w:val="56"/>
          <w:szCs w:val="56"/>
          <w:highlight w:val="none"/>
          <w:u w:val="single"/>
        </w:rPr>
      </w:pPr>
      <w:r>
        <w:rPr>
          <w:rFonts w:hint="eastAsia" w:ascii="黑体" w:hAnsi="黑体" w:eastAsia="黑体" w:cs="Times New Roman"/>
          <w:b/>
          <w:sz w:val="56"/>
          <w:szCs w:val="56"/>
          <w:highlight w:val="none"/>
          <w:u w:val="single"/>
        </w:rPr>
        <w:t>广州空港经济区拆迁安置区（花东安置区）教育配套设施建设项目</w:t>
      </w:r>
    </w:p>
    <w:p w14:paraId="5B91E786">
      <w:pPr>
        <w:widowControl/>
        <w:ind w:firstLine="0" w:firstLineChars="0"/>
        <w:jc w:val="center"/>
        <w:rPr>
          <w:rFonts w:ascii="宋体" w:hAnsi="宋体" w:cs="Times New Roman"/>
          <w:b/>
          <w:sz w:val="48"/>
          <w:szCs w:val="48"/>
          <w:highlight w:val="none"/>
        </w:rPr>
      </w:pPr>
      <w:r>
        <w:rPr>
          <w:rFonts w:hint="eastAsia" w:ascii="宋体" w:hAnsi="宋体" w:cs="Times New Roman"/>
          <w:b/>
          <w:sz w:val="72"/>
          <w:szCs w:val="72"/>
          <w:highlight w:val="none"/>
          <w:lang w:val="en-US" w:eastAsia="zh-CN"/>
        </w:rPr>
        <w:t>施工图设计</w:t>
      </w:r>
    </w:p>
    <w:p w14:paraId="30FAA8A6">
      <w:pPr>
        <w:widowControl/>
        <w:ind w:firstLine="0" w:firstLineChars="0"/>
        <w:jc w:val="center"/>
        <w:rPr>
          <w:rFonts w:hint="eastAsia" w:ascii="宋体" w:hAnsi="宋体" w:eastAsia="宋体" w:cs="Times New Roman"/>
          <w:b/>
          <w:sz w:val="48"/>
          <w:szCs w:val="48"/>
          <w:highlight w:val="none"/>
          <w:lang w:eastAsia="zh-CN"/>
        </w:rPr>
      </w:pPr>
    </w:p>
    <w:p w14:paraId="443EBD0C">
      <w:pPr>
        <w:widowControl/>
        <w:ind w:firstLine="0" w:firstLineChars="0"/>
        <w:jc w:val="center"/>
        <w:rPr>
          <w:rFonts w:hint="eastAsia" w:ascii="宋体" w:hAnsi="宋体" w:eastAsia="宋体" w:cs="Times New Roman"/>
          <w:b/>
          <w:sz w:val="48"/>
          <w:szCs w:val="48"/>
          <w:highlight w:val="none"/>
          <w:lang w:eastAsia="zh-CN"/>
        </w:rPr>
      </w:pPr>
    </w:p>
    <w:p w14:paraId="1B24BCC0">
      <w:pPr>
        <w:widowControl/>
        <w:ind w:firstLine="0" w:firstLineChars="0"/>
        <w:jc w:val="center"/>
        <w:rPr>
          <w:rFonts w:ascii="宋体" w:hAnsi="宋体" w:cs="Times New Roman"/>
          <w:b/>
          <w:sz w:val="48"/>
          <w:szCs w:val="48"/>
          <w:highlight w:val="none"/>
        </w:rPr>
      </w:pPr>
      <w:r>
        <w:rPr>
          <w:rFonts w:hint="eastAsia" w:ascii="宋体" w:hAnsi="宋体" w:cs="Times New Roman"/>
          <w:b/>
          <w:sz w:val="48"/>
          <w:szCs w:val="48"/>
          <w:highlight w:val="none"/>
        </w:rPr>
        <w:t>工程编号:202308079A</w:t>
      </w:r>
    </w:p>
    <w:p w14:paraId="6B69E06C">
      <w:pPr>
        <w:widowControl/>
        <w:ind w:firstLine="0" w:firstLineChars="0"/>
        <w:jc w:val="center"/>
        <w:rPr>
          <w:rFonts w:ascii="宋体" w:hAnsi="宋体" w:cs="Times New Roman"/>
          <w:b/>
          <w:sz w:val="48"/>
          <w:szCs w:val="48"/>
          <w:highlight w:val="none"/>
        </w:rPr>
      </w:pPr>
      <w:r>
        <w:rPr>
          <w:rFonts w:hint="eastAsia" w:ascii="宋体" w:hAnsi="宋体" w:cs="Times New Roman"/>
          <w:b/>
          <w:sz w:val="48"/>
          <w:szCs w:val="48"/>
          <w:highlight w:val="none"/>
        </w:rPr>
        <w:t>第</w:t>
      </w:r>
      <w:r>
        <w:rPr>
          <w:rFonts w:hint="eastAsia" w:ascii="宋体" w:hAnsi="宋体" w:cs="Times New Roman"/>
          <w:b/>
          <w:sz w:val="48"/>
          <w:szCs w:val="48"/>
          <w:highlight w:val="none"/>
          <w:lang w:val="en-US" w:eastAsia="zh-CN"/>
        </w:rPr>
        <w:t>四</w:t>
      </w:r>
      <w:r>
        <w:rPr>
          <w:rFonts w:hint="eastAsia" w:ascii="宋体" w:hAnsi="宋体" w:cs="Times New Roman"/>
          <w:b/>
          <w:sz w:val="48"/>
          <w:szCs w:val="48"/>
          <w:highlight w:val="none"/>
        </w:rPr>
        <w:t>册:市政排水工程</w:t>
      </w:r>
    </w:p>
    <w:p w14:paraId="57D384CC">
      <w:pPr>
        <w:widowControl/>
        <w:ind w:firstLine="0" w:firstLineChars="0"/>
        <w:jc w:val="center"/>
        <w:rPr>
          <w:rFonts w:ascii="宋体" w:hAnsi="宋体" w:cs="Times New Roman"/>
          <w:b/>
          <w:sz w:val="48"/>
          <w:szCs w:val="48"/>
          <w:highlight w:val="none"/>
        </w:rPr>
      </w:pPr>
      <w:r>
        <w:rPr>
          <w:rFonts w:hint="eastAsia" w:ascii="宋体" w:hAnsi="宋体" w:cs="Times New Roman"/>
          <w:b/>
          <w:sz w:val="48"/>
          <w:szCs w:val="48"/>
          <w:highlight w:val="none"/>
        </w:rPr>
        <w:t>共</w:t>
      </w:r>
      <w:r>
        <w:rPr>
          <w:rFonts w:hint="eastAsia" w:ascii="宋体" w:hAnsi="宋体" w:cs="Times New Roman"/>
          <w:b/>
          <w:sz w:val="48"/>
          <w:szCs w:val="48"/>
          <w:highlight w:val="none"/>
          <w:lang w:val="en-US" w:eastAsia="zh-CN"/>
        </w:rPr>
        <w:t>八</w:t>
      </w:r>
      <w:r>
        <w:rPr>
          <w:rFonts w:hint="eastAsia" w:ascii="宋体" w:hAnsi="宋体" w:cs="Times New Roman"/>
          <w:b/>
          <w:sz w:val="48"/>
          <w:szCs w:val="48"/>
          <w:highlight w:val="none"/>
        </w:rPr>
        <w:t>册</w:t>
      </w:r>
    </w:p>
    <w:p w14:paraId="689A5FCC">
      <w:pPr>
        <w:widowControl/>
        <w:ind w:firstLine="0" w:firstLineChars="0"/>
        <w:jc w:val="center"/>
        <w:rPr>
          <w:rFonts w:ascii="宋体" w:hAnsi="宋体" w:cs="Times New Roman"/>
          <w:b/>
          <w:sz w:val="48"/>
          <w:szCs w:val="48"/>
          <w:highlight w:val="none"/>
        </w:rPr>
      </w:pPr>
    </w:p>
    <w:p w14:paraId="0CD96AC3">
      <w:pPr>
        <w:widowControl/>
        <w:ind w:firstLine="0" w:firstLineChars="0"/>
        <w:jc w:val="center"/>
        <w:rPr>
          <w:rFonts w:ascii="宋体" w:hAnsi="宋体" w:cs="Times New Roman"/>
          <w:b/>
          <w:sz w:val="48"/>
          <w:szCs w:val="48"/>
          <w:highlight w:val="none"/>
        </w:rPr>
      </w:pPr>
    </w:p>
    <w:p w14:paraId="0BE1639B">
      <w:pPr>
        <w:widowControl/>
        <w:ind w:firstLine="0" w:firstLineChars="0"/>
        <w:jc w:val="left"/>
        <w:rPr>
          <w:rFonts w:ascii="宋体" w:hAnsi="宋体" w:cs="Times New Roman"/>
          <w:b/>
          <w:sz w:val="48"/>
          <w:szCs w:val="48"/>
          <w:highlight w:val="none"/>
        </w:rPr>
      </w:pPr>
    </w:p>
    <w:p w14:paraId="4CE2D24C">
      <w:pPr>
        <w:widowControl/>
        <w:ind w:firstLine="0" w:firstLineChars="0"/>
        <w:jc w:val="left"/>
        <w:rPr>
          <w:rFonts w:ascii="宋体" w:hAnsi="宋体" w:cs="Times New Roman"/>
          <w:b/>
          <w:sz w:val="48"/>
          <w:szCs w:val="48"/>
          <w:highlight w:val="none"/>
        </w:rPr>
      </w:pPr>
    </w:p>
    <w:p w14:paraId="60B6DD97">
      <w:pPr>
        <w:widowControl/>
        <w:ind w:firstLine="0" w:firstLineChars="0"/>
        <w:jc w:val="center"/>
        <w:rPr>
          <w:rFonts w:ascii="宋体" w:hAnsi="宋体" w:cs="Times New Roman"/>
          <w:b/>
          <w:sz w:val="48"/>
          <w:szCs w:val="48"/>
          <w:highlight w:val="none"/>
        </w:rPr>
      </w:pPr>
      <w:r>
        <w:drawing>
          <wp:inline distT="0" distB="0" distL="114300" distR="114300">
            <wp:extent cx="5400040" cy="1143000"/>
            <wp:effectExtent l="0" t="0" r="1016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8"/>
                    <a:stretch>
                      <a:fillRect/>
                    </a:stretch>
                  </pic:blipFill>
                  <pic:spPr>
                    <a:xfrm>
                      <a:off x="0" y="0"/>
                      <a:ext cx="5400040" cy="1143000"/>
                    </a:xfrm>
                    <a:prstGeom prst="rect">
                      <a:avLst/>
                    </a:prstGeom>
                    <a:noFill/>
                    <a:ln>
                      <a:noFill/>
                    </a:ln>
                  </pic:spPr>
                </pic:pic>
              </a:graphicData>
            </a:graphic>
          </wp:inline>
        </w:drawing>
      </w:r>
    </w:p>
    <w:p w14:paraId="625FD11B">
      <w:pPr>
        <w:widowControl/>
        <w:ind w:firstLine="0" w:firstLineChars="0"/>
        <w:jc w:val="center"/>
        <w:rPr>
          <w:rFonts w:ascii="宋体" w:hAnsi="宋体" w:cs="Times New Roman"/>
          <w:b/>
          <w:sz w:val="32"/>
          <w:szCs w:val="32"/>
          <w:highlight w:val="none"/>
        </w:rPr>
      </w:pPr>
    </w:p>
    <w:p w14:paraId="6C1AB73B">
      <w:pPr>
        <w:widowControl/>
        <w:ind w:firstLine="0" w:firstLineChars="0"/>
        <w:jc w:val="center"/>
        <w:rPr>
          <w:rFonts w:hint="eastAsia" w:ascii="宋体" w:hAnsi="宋体" w:eastAsia="宋体" w:cs="Times New Roman"/>
          <w:b/>
          <w:sz w:val="32"/>
          <w:szCs w:val="32"/>
          <w:highlight w:val="none"/>
          <w:lang w:val="en-US" w:eastAsia="zh-CN"/>
        </w:rPr>
      </w:pPr>
      <w:r>
        <w:rPr>
          <w:rFonts w:hint="eastAsia" w:ascii="宋体" w:hAnsi="宋体" w:cs="Times New Roman"/>
          <w:b/>
          <w:sz w:val="32"/>
          <w:szCs w:val="32"/>
          <w:highlight w:val="none"/>
          <w:lang w:eastAsia="zh-CN"/>
        </w:rPr>
        <w:t>2025-03</w:t>
      </w:r>
    </w:p>
    <w:p w14:paraId="57F43689">
      <w:pPr>
        <w:widowControl/>
        <w:ind w:firstLine="0" w:firstLineChars="0"/>
        <w:jc w:val="left"/>
        <w:rPr>
          <w:rFonts w:ascii="宋体" w:hAnsi="宋体" w:cs="Times New Roman"/>
          <w:b/>
          <w:sz w:val="48"/>
          <w:szCs w:val="48"/>
          <w:highlight w:val="none"/>
        </w:rPr>
      </w:pPr>
      <w:r>
        <w:rPr>
          <w:rFonts w:ascii="黑体" w:hAnsi="Calibri" w:eastAsia="黑体" w:cs="Times New Roman"/>
          <w:b/>
          <w:sz w:val="48"/>
          <w:szCs w:val="48"/>
          <w:highlight w:val="none"/>
        </w:rPr>
        <w:br w:type="page"/>
      </w:r>
    </w:p>
    <w:p w14:paraId="4EDD1962">
      <w:pPr>
        <w:widowControl/>
        <w:ind w:firstLine="0" w:firstLineChars="0"/>
        <w:jc w:val="center"/>
        <w:rPr>
          <w:rFonts w:ascii="黑体" w:hAnsi="黑体" w:eastAsia="黑体" w:cs="Times New Roman"/>
          <w:b/>
          <w:sz w:val="48"/>
          <w:szCs w:val="48"/>
          <w:highlight w:val="none"/>
        </w:rPr>
      </w:pPr>
    </w:p>
    <w:p w14:paraId="1323A8DC">
      <w:pPr>
        <w:widowControl/>
        <w:ind w:firstLine="0" w:firstLineChars="0"/>
        <w:jc w:val="center"/>
        <w:rPr>
          <w:rFonts w:ascii="黑体" w:hAnsi="黑体" w:eastAsia="黑体" w:cs="Times New Roman"/>
          <w:b/>
          <w:sz w:val="48"/>
          <w:szCs w:val="48"/>
          <w:highlight w:val="none"/>
        </w:rPr>
      </w:pPr>
    </w:p>
    <w:p w14:paraId="5A11B4BF">
      <w:pPr>
        <w:widowControl/>
        <w:ind w:firstLine="0" w:firstLineChars="0"/>
        <w:jc w:val="center"/>
        <w:rPr>
          <w:rFonts w:ascii="黑体" w:hAnsi="黑体" w:eastAsia="黑体" w:cs="Times New Roman"/>
          <w:b/>
          <w:sz w:val="56"/>
          <w:szCs w:val="56"/>
          <w:highlight w:val="none"/>
          <w:u w:val="single"/>
        </w:rPr>
      </w:pPr>
      <w:r>
        <w:rPr>
          <w:rFonts w:hint="eastAsia" w:ascii="黑体" w:hAnsi="黑体" w:eastAsia="黑体" w:cs="Times New Roman"/>
          <w:b/>
          <w:sz w:val="56"/>
          <w:szCs w:val="56"/>
          <w:highlight w:val="none"/>
          <w:u w:val="single"/>
        </w:rPr>
        <w:t>广州空港经济区拆迁安置区（花东安置区）教育配套设施建设项目</w:t>
      </w:r>
    </w:p>
    <w:p w14:paraId="0FFD3AE1">
      <w:pPr>
        <w:widowControl/>
        <w:ind w:firstLine="0" w:firstLineChars="0"/>
        <w:jc w:val="center"/>
        <w:rPr>
          <w:rFonts w:ascii="宋体" w:hAnsi="宋体" w:cs="Times New Roman"/>
          <w:b/>
          <w:sz w:val="48"/>
          <w:szCs w:val="48"/>
          <w:highlight w:val="none"/>
        </w:rPr>
      </w:pPr>
      <w:r>
        <w:rPr>
          <w:rFonts w:hint="eastAsia" w:ascii="宋体" w:hAnsi="宋体" w:cs="Times New Roman"/>
          <w:b/>
          <w:sz w:val="72"/>
          <w:szCs w:val="72"/>
          <w:highlight w:val="none"/>
          <w:lang w:val="en-US" w:eastAsia="zh-CN"/>
        </w:rPr>
        <w:t>施工图设计</w:t>
      </w:r>
    </w:p>
    <w:p w14:paraId="00C8744D">
      <w:pPr>
        <w:widowControl/>
        <w:ind w:firstLine="0" w:firstLineChars="0"/>
        <w:jc w:val="center"/>
        <w:rPr>
          <w:rFonts w:ascii="宋体" w:hAnsi="宋体" w:cs="Times New Roman"/>
          <w:b/>
          <w:sz w:val="48"/>
          <w:szCs w:val="48"/>
          <w:highlight w:val="none"/>
        </w:rPr>
      </w:pPr>
    </w:p>
    <w:p w14:paraId="2522680B">
      <w:pPr>
        <w:widowControl/>
        <w:spacing w:line="1000" w:lineRule="exact"/>
        <w:ind w:firstLine="7560" w:firstLineChars="2100"/>
        <w:rPr>
          <w:rFonts w:ascii="宋体" w:hAnsi="宋体" w:cs="Times New Roman"/>
          <w:bCs/>
          <w:sz w:val="36"/>
          <w:szCs w:val="36"/>
          <w:highlight w:val="none"/>
        </w:rPr>
      </w:pPr>
      <w:r>
        <w:rPr>
          <w:rFonts w:hint="eastAsia" w:ascii="宋体" w:hAnsi="宋体" w:cs="Times New Roman"/>
          <w:bCs/>
          <w:sz w:val="36"/>
          <w:szCs w:val="36"/>
          <w:highlight w:val="none"/>
        </w:rPr>
        <w:t xml:space="preserve">审 </w:t>
      </w:r>
      <w:r>
        <w:rPr>
          <w:rFonts w:ascii="宋体" w:hAnsi="宋体" w:cs="Times New Roman"/>
          <w:bCs/>
          <w:sz w:val="36"/>
          <w:szCs w:val="36"/>
          <w:highlight w:val="none"/>
        </w:rPr>
        <w:t xml:space="preserve">     </w:t>
      </w:r>
      <w:r>
        <w:rPr>
          <w:rFonts w:hint="eastAsia" w:ascii="宋体" w:hAnsi="宋体" w:cs="Times New Roman"/>
          <w:bCs/>
          <w:sz w:val="36"/>
          <w:szCs w:val="36"/>
          <w:highlight w:val="none"/>
        </w:rPr>
        <w:t xml:space="preserve">定：陈艳平 </w:t>
      </w:r>
      <w:r>
        <w:rPr>
          <w:rFonts w:ascii="宋体" w:hAnsi="宋体" w:cs="Times New Roman"/>
          <w:bCs/>
          <w:sz w:val="36"/>
          <w:szCs w:val="36"/>
          <w:highlight w:val="none"/>
        </w:rPr>
        <w:t xml:space="preserve">          </w:t>
      </w:r>
    </w:p>
    <w:p w14:paraId="33FE3F12">
      <w:pPr>
        <w:widowControl/>
        <w:spacing w:line="1000" w:lineRule="exact"/>
        <w:ind w:firstLine="7560" w:firstLineChars="2100"/>
        <w:rPr>
          <w:rFonts w:ascii="宋体" w:hAnsi="宋体" w:cs="Times New Roman"/>
          <w:bCs/>
          <w:sz w:val="36"/>
          <w:szCs w:val="36"/>
          <w:highlight w:val="none"/>
        </w:rPr>
      </w:pPr>
      <w:r>
        <w:rPr>
          <w:rFonts w:hint="eastAsia" w:ascii="宋体" w:hAnsi="宋体" w:cs="Times New Roman"/>
          <w:bCs/>
          <w:sz w:val="36"/>
          <w:szCs w:val="36"/>
          <w:highlight w:val="none"/>
        </w:rPr>
        <w:t xml:space="preserve">审 </w:t>
      </w:r>
      <w:r>
        <w:rPr>
          <w:rFonts w:ascii="宋体" w:hAnsi="宋体" w:cs="Times New Roman"/>
          <w:bCs/>
          <w:sz w:val="36"/>
          <w:szCs w:val="36"/>
          <w:highlight w:val="none"/>
        </w:rPr>
        <w:t xml:space="preserve">     </w:t>
      </w:r>
      <w:r>
        <w:rPr>
          <w:rFonts w:hint="eastAsia" w:ascii="宋体" w:hAnsi="宋体" w:cs="Times New Roman"/>
          <w:bCs/>
          <w:sz w:val="36"/>
          <w:szCs w:val="36"/>
          <w:highlight w:val="none"/>
        </w:rPr>
        <w:t xml:space="preserve">核：唐德昕  </w:t>
      </w:r>
      <w:r>
        <w:rPr>
          <w:rFonts w:ascii="宋体" w:hAnsi="宋体" w:cs="Times New Roman"/>
          <w:bCs/>
          <w:sz w:val="36"/>
          <w:szCs w:val="36"/>
          <w:highlight w:val="none"/>
        </w:rPr>
        <w:t xml:space="preserve">            </w:t>
      </w:r>
    </w:p>
    <w:p w14:paraId="3BC6690C">
      <w:pPr>
        <w:widowControl/>
        <w:spacing w:line="1000" w:lineRule="exact"/>
        <w:ind w:firstLine="7560" w:firstLineChars="2100"/>
        <w:rPr>
          <w:rFonts w:ascii="宋体" w:hAnsi="宋体" w:cs="Times New Roman"/>
          <w:bCs/>
          <w:sz w:val="36"/>
          <w:szCs w:val="36"/>
          <w:highlight w:val="none"/>
        </w:rPr>
      </w:pPr>
      <w:r>
        <w:rPr>
          <w:rFonts w:hint="eastAsia" w:ascii="宋体" w:hAnsi="宋体" w:cs="Times New Roman"/>
          <w:bCs/>
          <w:sz w:val="36"/>
          <w:szCs w:val="36"/>
          <w:highlight w:val="none"/>
        </w:rPr>
        <w:t>项目总负责：</w:t>
      </w:r>
      <w:r>
        <w:rPr>
          <w:rFonts w:hint="eastAsia" w:ascii="宋体" w:hAnsi="宋体" w:cs="Times New Roman"/>
          <w:bCs/>
          <w:spacing w:val="45"/>
          <w:kern w:val="0"/>
          <w:sz w:val="36"/>
          <w:szCs w:val="36"/>
          <w:highlight w:val="none"/>
          <w:fitText w:val="1080" w:id="772549914"/>
        </w:rPr>
        <w:t>陈</w:t>
      </w:r>
      <w:r>
        <w:rPr>
          <w:rFonts w:hint="eastAsia" w:ascii="宋体" w:hAnsi="宋体" w:cs="Times New Roman"/>
          <w:bCs/>
          <w:spacing w:val="45"/>
          <w:kern w:val="0"/>
          <w:sz w:val="36"/>
          <w:szCs w:val="36"/>
          <w:highlight w:val="none"/>
          <w:fitText w:val="1080" w:id="772549914"/>
          <w:lang w:val="en-US" w:eastAsia="zh-CN"/>
        </w:rPr>
        <w:t xml:space="preserve"> </w:t>
      </w:r>
      <w:r>
        <w:rPr>
          <w:rFonts w:hint="eastAsia" w:ascii="宋体" w:hAnsi="宋体" w:cs="Times New Roman"/>
          <w:bCs/>
          <w:spacing w:val="0"/>
          <w:kern w:val="0"/>
          <w:sz w:val="36"/>
          <w:szCs w:val="36"/>
          <w:highlight w:val="none"/>
          <w:fitText w:val="1080" w:id="772549914"/>
        </w:rPr>
        <w:t>军</w:t>
      </w:r>
      <w:r>
        <w:rPr>
          <w:rFonts w:hint="eastAsia" w:ascii="宋体" w:hAnsi="宋体" w:cs="Times New Roman"/>
          <w:bCs/>
          <w:sz w:val="36"/>
          <w:szCs w:val="36"/>
          <w:highlight w:val="none"/>
        </w:rPr>
        <w:t xml:space="preserve"> </w:t>
      </w:r>
      <w:r>
        <w:rPr>
          <w:rFonts w:ascii="宋体" w:hAnsi="宋体" w:cs="Times New Roman"/>
          <w:bCs/>
          <w:sz w:val="36"/>
          <w:szCs w:val="36"/>
          <w:highlight w:val="none"/>
        </w:rPr>
        <w:t xml:space="preserve">         </w:t>
      </w:r>
    </w:p>
    <w:p w14:paraId="45B8C8D7">
      <w:pPr>
        <w:widowControl/>
        <w:ind w:firstLine="0" w:firstLineChars="0"/>
        <w:jc w:val="left"/>
        <w:rPr>
          <w:rFonts w:ascii="宋体" w:hAnsi="宋体" w:cs="Times New Roman"/>
          <w:b/>
          <w:sz w:val="48"/>
          <w:szCs w:val="48"/>
          <w:highlight w:val="none"/>
        </w:rPr>
      </w:pPr>
    </w:p>
    <w:p w14:paraId="11540A66">
      <w:pPr>
        <w:widowControl/>
        <w:ind w:firstLine="0" w:firstLineChars="0"/>
        <w:jc w:val="left"/>
        <w:rPr>
          <w:rFonts w:ascii="宋体" w:hAnsi="宋体" w:cs="Times New Roman"/>
          <w:b/>
          <w:sz w:val="48"/>
          <w:szCs w:val="48"/>
          <w:highlight w:val="none"/>
        </w:rPr>
      </w:pPr>
    </w:p>
    <w:p w14:paraId="5A347E13">
      <w:pPr>
        <w:widowControl/>
        <w:ind w:firstLine="0" w:firstLineChars="0"/>
        <w:jc w:val="left"/>
        <w:rPr>
          <w:rFonts w:ascii="宋体" w:hAnsi="宋体" w:cs="Times New Roman"/>
          <w:b/>
          <w:sz w:val="48"/>
          <w:szCs w:val="48"/>
          <w:highlight w:val="none"/>
        </w:rPr>
      </w:pPr>
    </w:p>
    <w:p w14:paraId="5CFDA93C">
      <w:pPr>
        <w:widowControl/>
        <w:ind w:firstLine="0" w:firstLineChars="0"/>
        <w:jc w:val="left"/>
        <w:rPr>
          <w:rFonts w:ascii="宋体" w:hAnsi="宋体" w:cs="Times New Roman"/>
          <w:b/>
          <w:sz w:val="48"/>
          <w:szCs w:val="48"/>
          <w:highlight w:val="none"/>
        </w:rPr>
      </w:pPr>
    </w:p>
    <w:p w14:paraId="0A52476E">
      <w:pPr>
        <w:widowControl/>
        <w:ind w:firstLine="0" w:firstLineChars="0"/>
        <w:jc w:val="center"/>
        <w:rPr>
          <w:rFonts w:ascii="宋体" w:hAnsi="宋体" w:cs="Times New Roman"/>
          <w:b/>
          <w:sz w:val="48"/>
          <w:szCs w:val="48"/>
          <w:highlight w:val="none"/>
        </w:rPr>
      </w:pPr>
      <w:r>
        <w:drawing>
          <wp:inline distT="0" distB="0" distL="114300" distR="114300">
            <wp:extent cx="5400040" cy="1143000"/>
            <wp:effectExtent l="0" t="0" r="1016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8"/>
                    <a:stretch>
                      <a:fillRect/>
                    </a:stretch>
                  </pic:blipFill>
                  <pic:spPr>
                    <a:xfrm>
                      <a:off x="0" y="0"/>
                      <a:ext cx="5400040" cy="1143000"/>
                    </a:xfrm>
                    <a:prstGeom prst="rect">
                      <a:avLst/>
                    </a:prstGeom>
                    <a:noFill/>
                    <a:ln>
                      <a:noFill/>
                    </a:ln>
                  </pic:spPr>
                </pic:pic>
              </a:graphicData>
            </a:graphic>
          </wp:inline>
        </w:drawing>
      </w:r>
    </w:p>
    <w:p w14:paraId="118AF844">
      <w:pPr>
        <w:widowControl/>
        <w:ind w:firstLine="0" w:firstLineChars="0"/>
        <w:jc w:val="center"/>
        <w:rPr>
          <w:rFonts w:ascii="宋体" w:hAnsi="宋体" w:cs="Times New Roman"/>
          <w:b/>
          <w:sz w:val="32"/>
          <w:szCs w:val="32"/>
          <w:highlight w:val="none"/>
        </w:rPr>
      </w:pPr>
    </w:p>
    <w:p w14:paraId="2E7DFC0C">
      <w:pPr>
        <w:widowControl/>
        <w:ind w:firstLine="0" w:firstLineChars="0"/>
        <w:jc w:val="center"/>
        <w:rPr>
          <w:rFonts w:hint="eastAsia" w:ascii="宋体" w:hAnsi="宋体" w:eastAsia="宋体" w:cs="Times New Roman"/>
          <w:b/>
          <w:sz w:val="32"/>
          <w:szCs w:val="32"/>
          <w:highlight w:val="none"/>
          <w:lang w:val="en-US" w:eastAsia="zh-CN"/>
        </w:rPr>
      </w:pPr>
      <w:r>
        <w:rPr>
          <w:rFonts w:hint="eastAsia" w:ascii="宋体" w:hAnsi="宋体" w:cs="Times New Roman"/>
          <w:b/>
          <w:sz w:val="32"/>
          <w:szCs w:val="32"/>
          <w:highlight w:val="none"/>
          <w:lang w:eastAsia="zh-CN"/>
        </w:rPr>
        <w:t>2025-03</w:t>
      </w:r>
    </w:p>
    <w:p w14:paraId="323B2636">
      <w:pPr>
        <w:widowControl/>
        <w:spacing w:line="240" w:lineRule="auto"/>
        <w:ind w:firstLine="0" w:firstLineChars="0"/>
        <w:jc w:val="left"/>
        <w:rPr>
          <w:rFonts w:ascii="黑体" w:hAnsi="Calibri" w:eastAsia="黑体" w:cs="Times New Roman"/>
          <w:b/>
          <w:sz w:val="48"/>
          <w:szCs w:val="48"/>
          <w:highlight w:val="none"/>
        </w:rPr>
      </w:pPr>
    </w:p>
    <w:p w14:paraId="2235B4E5">
      <w:pPr>
        <w:ind w:firstLine="0" w:firstLineChars="0"/>
        <w:jc w:val="center"/>
        <w:rPr>
          <w:b/>
          <w:bCs/>
          <w:sz w:val="36"/>
          <w:szCs w:val="36"/>
          <w:highlight w:val="none"/>
        </w:rPr>
      </w:pPr>
    </w:p>
    <w:p w14:paraId="15D4180D">
      <w:pPr>
        <w:ind w:firstLine="0" w:firstLineChars="0"/>
        <w:jc w:val="center"/>
        <w:rPr>
          <w:b/>
          <w:bCs/>
          <w:sz w:val="36"/>
          <w:szCs w:val="36"/>
          <w:highlight w:val="none"/>
        </w:rPr>
        <w:sectPr>
          <w:headerReference r:id="rId7" w:type="first"/>
          <w:footerReference r:id="rId10" w:type="first"/>
          <w:headerReference r:id="rId5" w:type="default"/>
          <w:footerReference r:id="rId8" w:type="default"/>
          <w:headerReference r:id="rId6" w:type="even"/>
          <w:footerReference r:id="rId9" w:type="even"/>
          <w:pgSz w:w="23811" w:h="16838" w:orient="landscape"/>
          <w:pgMar w:top="1418" w:right="1440" w:bottom="1134" w:left="1440" w:header="680" w:footer="737" w:gutter="0"/>
          <w:cols w:space="1201" w:num="1"/>
          <w:docGrid w:type="lines" w:linePitch="326" w:charSpace="0"/>
        </w:sectPr>
      </w:pPr>
    </w:p>
    <w:bookmarkEnd w:id="1"/>
    <w:sdt>
      <w:sdtPr>
        <w:rPr>
          <w:rFonts w:ascii="Times New Roman" w:hAnsi="Times New Roman" w:eastAsia="宋体" w:cstheme="minorBidi"/>
          <w:color w:val="auto"/>
          <w:kern w:val="2"/>
          <w:sz w:val="24"/>
          <w:szCs w:val="22"/>
          <w:highlight w:val="none"/>
          <w:lang w:val="zh-CN"/>
        </w:rPr>
        <w:id w:val="74949876"/>
        <w:docPartObj>
          <w:docPartGallery w:val="Table of Contents"/>
          <w:docPartUnique/>
        </w:docPartObj>
      </w:sdtPr>
      <w:sdtEndPr>
        <w:rPr>
          <w:rFonts w:ascii="Times New Roman" w:hAnsi="Times New Roman" w:eastAsia="宋体" w:cstheme="minorBidi"/>
          <w:b/>
          <w:bCs/>
          <w:color w:val="auto"/>
          <w:kern w:val="2"/>
          <w:sz w:val="24"/>
          <w:szCs w:val="22"/>
          <w:highlight w:val="none"/>
          <w:lang w:val="zh-CN"/>
        </w:rPr>
      </w:sdtEndPr>
      <w:sdtContent>
        <w:p w14:paraId="44E3EE27">
          <w:pPr>
            <w:pStyle w:val="35"/>
            <w:spacing w:before="163" w:after="163"/>
            <w:ind w:firstLine="480"/>
            <w:jc w:val="center"/>
            <w:rPr>
              <w:rFonts w:ascii="宋体" w:hAnsi="宋体" w:eastAsia="宋体"/>
              <w:b/>
              <w:bCs/>
              <w:color w:val="auto"/>
              <w:highlight w:val="none"/>
            </w:rPr>
          </w:pPr>
          <w:r>
            <w:rPr>
              <w:rFonts w:hint="eastAsia" w:ascii="宋体" w:hAnsi="宋体" w:eastAsia="宋体"/>
              <w:b/>
              <w:bCs/>
              <w:color w:val="auto"/>
              <w:highlight w:val="none"/>
              <w:lang w:val="zh-CN"/>
            </w:rPr>
            <w:t>设计说明</w:t>
          </w:r>
          <w:r>
            <w:rPr>
              <w:rFonts w:ascii="宋体" w:hAnsi="宋体" w:eastAsia="宋体"/>
              <w:b/>
              <w:bCs/>
              <w:color w:val="auto"/>
              <w:highlight w:val="none"/>
              <w:lang w:val="zh-CN"/>
            </w:rPr>
            <w:t>目录</w:t>
          </w:r>
        </w:p>
        <w:p w14:paraId="5408A42F">
          <w:pPr>
            <w:pStyle w:val="17"/>
            <w:tabs>
              <w:tab w:val="right" w:leader="dot" w:pos="9865"/>
            </w:tabs>
          </w:pPr>
          <w:r>
            <w:rPr>
              <w:highlight w:val="none"/>
            </w:rPr>
            <w:fldChar w:fldCharType="begin"/>
          </w:r>
          <w:r>
            <w:rPr>
              <w:highlight w:val="none"/>
            </w:rPr>
            <w:instrText xml:space="preserve"> TOC \o "1-3" \h \z \u </w:instrText>
          </w:r>
          <w:r>
            <w:rPr>
              <w:highlight w:val="none"/>
            </w:rPr>
            <w:fldChar w:fldCharType="separate"/>
          </w:r>
          <w:r>
            <w:rPr>
              <w:highlight w:val="none"/>
            </w:rPr>
            <w:fldChar w:fldCharType="begin"/>
          </w:r>
          <w:r>
            <w:rPr>
              <w:highlight w:val="none"/>
            </w:rPr>
            <w:instrText xml:space="preserve"> HYPERLINK \l _Toc2703 </w:instrText>
          </w:r>
          <w:r>
            <w:rPr>
              <w:highlight w:val="none"/>
            </w:rPr>
            <w:fldChar w:fldCharType="separate"/>
          </w:r>
          <w:r>
            <w:rPr>
              <w:rFonts w:hint="eastAsia"/>
            </w:rPr>
            <w:t xml:space="preserve">1.1 </w:t>
          </w:r>
          <w:r>
            <w:rPr>
              <w:rFonts w:hint="eastAsia"/>
              <w:highlight w:val="none"/>
            </w:rPr>
            <w:t>道路排水工程</w:t>
          </w:r>
          <w:r>
            <w:tab/>
          </w:r>
          <w:r>
            <w:fldChar w:fldCharType="begin"/>
          </w:r>
          <w:r>
            <w:instrText xml:space="preserve"> PAGEREF _Toc2703 \h </w:instrText>
          </w:r>
          <w:r>
            <w:fldChar w:fldCharType="separate"/>
          </w:r>
          <w:r>
            <w:t>4</w:t>
          </w:r>
          <w:r>
            <w:fldChar w:fldCharType="end"/>
          </w:r>
          <w:r>
            <w:rPr>
              <w:highlight w:val="none"/>
            </w:rPr>
            <w:fldChar w:fldCharType="end"/>
          </w:r>
        </w:p>
        <w:p w14:paraId="17C77999">
          <w:pPr>
            <w:pStyle w:val="10"/>
            <w:tabs>
              <w:tab w:val="right" w:leader="dot" w:pos="9865"/>
            </w:tabs>
          </w:pPr>
          <w:r>
            <w:rPr>
              <w:bCs/>
              <w:highlight w:val="none"/>
              <w:lang w:val="zh-CN"/>
            </w:rPr>
            <w:fldChar w:fldCharType="begin"/>
          </w:r>
          <w:r>
            <w:rPr>
              <w:bCs/>
              <w:highlight w:val="none"/>
              <w:lang w:val="zh-CN"/>
            </w:rPr>
            <w:instrText xml:space="preserve"> HYPERLINK \l _Toc23450 </w:instrText>
          </w:r>
          <w:r>
            <w:rPr>
              <w:bCs/>
              <w:highlight w:val="none"/>
              <w:lang w:val="zh-CN"/>
            </w:rPr>
            <w:fldChar w:fldCharType="separate"/>
          </w:r>
          <w:r>
            <w:rPr>
              <w:rFonts w:hint="eastAsia"/>
            </w:rPr>
            <w:t xml:space="preserve">1.1.1 </w:t>
          </w:r>
          <w:r>
            <w:rPr>
              <w:rFonts w:hint="eastAsia"/>
              <w:highlight w:val="none"/>
            </w:rPr>
            <w:t>设计范围</w:t>
          </w:r>
          <w:r>
            <w:tab/>
          </w:r>
          <w:r>
            <w:fldChar w:fldCharType="begin"/>
          </w:r>
          <w:r>
            <w:instrText xml:space="preserve"> PAGEREF _Toc23450 \h </w:instrText>
          </w:r>
          <w:r>
            <w:fldChar w:fldCharType="separate"/>
          </w:r>
          <w:r>
            <w:t>4</w:t>
          </w:r>
          <w:r>
            <w:fldChar w:fldCharType="end"/>
          </w:r>
          <w:r>
            <w:rPr>
              <w:bCs/>
              <w:highlight w:val="none"/>
              <w:lang w:val="zh-CN"/>
            </w:rPr>
            <w:fldChar w:fldCharType="end"/>
          </w:r>
        </w:p>
        <w:p w14:paraId="64337204">
          <w:pPr>
            <w:pStyle w:val="10"/>
            <w:tabs>
              <w:tab w:val="right" w:leader="dot" w:pos="9865"/>
            </w:tabs>
          </w:pPr>
          <w:r>
            <w:rPr>
              <w:bCs/>
              <w:highlight w:val="none"/>
              <w:lang w:val="zh-CN"/>
            </w:rPr>
            <w:fldChar w:fldCharType="begin"/>
          </w:r>
          <w:r>
            <w:rPr>
              <w:bCs/>
              <w:highlight w:val="none"/>
              <w:lang w:val="zh-CN"/>
            </w:rPr>
            <w:instrText xml:space="preserve"> HYPERLINK \l _Toc5448 </w:instrText>
          </w:r>
          <w:r>
            <w:rPr>
              <w:bCs/>
              <w:highlight w:val="none"/>
              <w:lang w:val="zh-CN"/>
            </w:rPr>
            <w:fldChar w:fldCharType="separate"/>
          </w:r>
          <w:r>
            <w:rPr>
              <w:rFonts w:hint="eastAsia"/>
            </w:rPr>
            <w:t xml:space="preserve">1.1.2 </w:t>
          </w:r>
          <w:r>
            <w:rPr>
              <w:rFonts w:hint="eastAsia"/>
              <w:highlight w:val="none"/>
            </w:rPr>
            <w:t>设计原则</w:t>
          </w:r>
          <w:r>
            <w:tab/>
          </w:r>
          <w:r>
            <w:fldChar w:fldCharType="begin"/>
          </w:r>
          <w:r>
            <w:instrText xml:space="preserve"> PAGEREF _Toc5448 \h </w:instrText>
          </w:r>
          <w:r>
            <w:fldChar w:fldCharType="separate"/>
          </w:r>
          <w:r>
            <w:t>4</w:t>
          </w:r>
          <w:r>
            <w:fldChar w:fldCharType="end"/>
          </w:r>
          <w:r>
            <w:rPr>
              <w:bCs/>
              <w:highlight w:val="none"/>
              <w:lang w:val="zh-CN"/>
            </w:rPr>
            <w:fldChar w:fldCharType="end"/>
          </w:r>
        </w:p>
        <w:p w14:paraId="38E3B43E">
          <w:pPr>
            <w:pStyle w:val="10"/>
            <w:tabs>
              <w:tab w:val="right" w:leader="dot" w:pos="9865"/>
            </w:tabs>
          </w:pPr>
          <w:r>
            <w:rPr>
              <w:bCs/>
              <w:highlight w:val="none"/>
              <w:lang w:val="zh-CN"/>
            </w:rPr>
            <w:fldChar w:fldCharType="begin"/>
          </w:r>
          <w:r>
            <w:rPr>
              <w:bCs/>
              <w:highlight w:val="none"/>
              <w:lang w:val="zh-CN"/>
            </w:rPr>
            <w:instrText xml:space="preserve"> HYPERLINK \l _Toc24702 </w:instrText>
          </w:r>
          <w:r>
            <w:rPr>
              <w:bCs/>
              <w:highlight w:val="none"/>
              <w:lang w:val="zh-CN"/>
            </w:rPr>
            <w:fldChar w:fldCharType="separate"/>
          </w:r>
          <w:r>
            <w:rPr>
              <w:rFonts w:hint="eastAsia"/>
            </w:rPr>
            <w:t xml:space="preserve">1.1.3 </w:t>
          </w:r>
          <w:r>
            <w:rPr>
              <w:rFonts w:hint="eastAsia"/>
              <w:highlight w:val="none"/>
            </w:rPr>
            <w:t>设计依据</w:t>
          </w:r>
          <w:r>
            <w:tab/>
          </w:r>
          <w:r>
            <w:fldChar w:fldCharType="begin"/>
          </w:r>
          <w:r>
            <w:instrText xml:space="preserve"> PAGEREF _Toc24702 \h </w:instrText>
          </w:r>
          <w:r>
            <w:fldChar w:fldCharType="separate"/>
          </w:r>
          <w:r>
            <w:t>4</w:t>
          </w:r>
          <w:r>
            <w:fldChar w:fldCharType="end"/>
          </w:r>
          <w:r>
            <w:rPr>
              <w:bCs/>
              <w:highlight w:val="none"/>
              <w:lang w:val="zh-CN"/>
            </w:rPr>
            <w:fldChar w:fldCharType="end"/>
          </w:r>
        </w:p>
        <w:p w14:paraId="69AFC9F2">
          <w:pPr>
            <w:pStyle w:val="10"/>
            <w:tabs>
              <w:tab w:val="right" w:leader="dot" w:pos="9865"/>
            </w:tabs>
          </w:pPr>
          <w:r>
            <w:rPr>
              <w:bCs/>
              <w:highlight w:val="none"/>
              <w:lang w:val="zh-CN"/>
            </w:rPr>
            <w:fldChar w:fldCharType="begin"/>
          </w:r>
          <w:r>
            <w:rPr>
              <w:bCs/>
              <w:highlight w:val="none"/>
              <w:lang w:val="zh-CN"/>
            </w:rPr>
            <w:instrText xml:space="preserve"> HYPERLINK \l _Toc23052 </w:instrText>
          </w:r>
          <w:r>
            <w:rPr>
              <w:bCs/>
              <w:highlight w:val="none"/>
              <w:lang w:val="zh-CN"/>
            </w:rPr>
            <w:fldChar w:fldCharType="separate"/>
          </w:r>
          <w:r>
            <w:rPr>
              <w:rFonts w:hint="eastAsia"/>
            </w:rPr>
            <w:t xml:space="preserve">1.1.4 </w:t>
          </w:r>
          <w:r>
            <w:rPr>
              <w:rFonts w:hint="eastAsia"/>
              <w:highlight w:val="none"/>
            </w:rPr>
            <w:t>抗震设计及结构安全等级</w:t>
          </w:r>
          <w:r>
            <w:tab/>
          </w:r>
          <w:r>
            <w:fldChar w:fldCharType="begin"/>
          </w:r>
          <w:r>
            <w:instrText xml:space="preserve"> PAGEREF _Toc23052 \h </w:instrText>
          </w:r>
          <w:r>
            <w:fldChar w:fldCharType="separate"/>
          </w:r>
          <w:r>
            <w:t>5</w:t>
          </w:r>
          <w:r>
            <w:fldChar w:fldCharType="end"/>
          </w:r>
          <w:r>
            <w:rPr>
              <w:bCs/>
              <w:highlight w:val="none"/>
              <w:lang w:val="zh-CN"/>
            </w:rPr>
            <w:fldChar w:fldCharType="end"/>
          </w:r>
        </w:p>
        <w:p w14:paraId="61264382">
          <w:pPr>
            <w:pStyle w:val="10"/>
            <w:tabs>
              <w:tab w:val="right" w:leader="dot" w:pos="9865"/>
            </w:tabs>
          </w:pPr>
          <w:r>
            <w:rPr>
              <w:bCs/>
              <w:highlight w:val="none"/>
              <w:lang w:val="zh-CN"/>
            </w:rPr>
            <w:fldChar w:fldCharType="begin"/>
          </w:r>
          <w:r>
            <w:rPr>
              <w:bCs/>
              <w:highlight w:val="none"/>
              <w:lang w:val="zh-CN"/>
            </w:rPr>
            <w:instrText xml:space="preserve"> HYPERLINK \l _Toc20482 </w:instrText>
          </w:r>
          <w:r>
            <w:rPr>
              <w:bCs/>
              <w:highlight w:val="none"/>
              <w:lang w:val="zh-CN"/>
            </w:rPr>
            <w:fldChar w:fldCharType="separate"/>
          </w:r>
          <w:r>
            <w:rPr>
              <w:rFonts w:hint="eastAsia"/>
            </w:rPr>
            <w:t xml:space="preserve">1.1.5 </w:t>
          </w:r>
          <w:r>
            <w:rPr>
              <w:rFonts w:hint="eastAsia"/>
              <w:highlight w:val="none"/>
            </w:rPr>
            <w:t>工程地质条件</w:t>
          </w:r>
          <w:r>
            <w:tab/>
          </w:r>
          <w:r>
            <w:fldChar w:fldCharType="begin"/>
          </w:r>
          <w:r>
            <w:instrText xml:space="preserve"> PAGEREF _Toc20482 \h </w:instrText>
          </w:r>
          <w:r>
            <w:fldChar w:fldCharType="separate"/>
          </w:r>
          <w:r>
            <w:t>5</w:t>
          </w:r>
          <w:r>
            <w:fldChar w:fldCharType="end"/>
          </w:r>
          <w:r>
            <w:rPr>
              <w:bCs/>
              <w:highlight w:val="none"/>
              <w:lang w:val="zh-CN"/>
            </w:rPr>
            <w:fldChar w:fldCharType="end"/>
          </w:r>
        </w:p>
        <w:p w14:paraId="0804702B">
          <w:pPr>
            <w:pStyle w:val="10"/>
            <w:tabs>
              <w:tab w:val="right" w:leader="dot" w:pos="9865"/>
            </w:tabs>
          </w:pPr>
          <w:r>
            <w:rPr>
              <w:bCs/>
              <w:highlight w:val="none"/>
              <w:lang w:val="zh-CN"/>
            </w:rPr>
            <w:fldChar w:fldCharType="begin"/>
          </w:r>
          <w:r>
            <w:rPr>
              <w:bCs/>
              <w:highlight w:val="none"/>
              <w:lang w:val="zh-CN"/>
            </w:rPr>
            <w:instrText xml:space="preserve"> HYPERLINK \l _Toc10666 </w:instrText>
          </w:r>
          <w:r>
            <w:rPr>
              <w:bCs/>
              <w:highlight w:val="none"/>
              <w:lang w:val="zh-CN"/>
            </w:rPr>
            <w:fldChar w:fldCharType="separate"/>
          </w:r>
          <w:r>
            <w:rPr>
              <w:rFonts w:hint="eastAsia"/>
            </w:rPr>
            <w:t xml:space="preserve">1.1.6 </w:t>
          </w:r>
          <w:r>
            <w:rPr>
              <w:rFonts w:hint="eastAsia"/>
              <w:highlight w:val="none"/>
            </w:rPr>
            <w:t>现状分析</w:t>
          </w:r>
          <w:r>
            <w:tab/>
          </w:r>
          <w:r>
            <w:fldChar w:fldCharType="begin"/>
          </w:r>
          <w:r>
            <w:instrText xml:space="preserve"> PAGEREF _Toc10666 \h </w:instrText>
          </w:r>
          <w:r>
            <w:fldChar w:fldCharType="separate"/>
          </w:r>
          <w:r>
            <w:t>7</w:t>
          </w:r>
          <w:r>
            <w:fldChar w:fldCharType="end"/>
          </w:r>
          <w:r>
            <w:rPr>
              <w:bCs/>
              <w:highlight w:val="none"/>
              <w:lang w:val="zh-CN"/>
            </w:rPr>
            <w:fldChar w:fldCharType="end"/>
          </w:r>
        </w:p>
        <w:p w14:paraId="3FCBD12E">
          <w:pPr>
            <w:pStyle w:val="10"/>
            <w:tabs>
              <w:tab w:val="right" w:leader="dot" w:pos="9865"/>
            </w:tabs>
          </w:pPr>
          <w:r>
            <w:rPr>
              <w:bCs/>
              <w:highlight w:val="none"/>
              <w:lang w:val="zh-CN"/>
            </w:rPr>
            <w:fldChar w:fldCharType="begin"/>
          </w:r>
          <w:r>
            <w:rPr>
              <w:bCs/>
              <w:highlight w:val="none"/>
              <w:lang w:val="zh-CN"/>
            </w:rPr>
            <w:instrText xml:space="preserve"> HYPERLINK \l _Toc32711 </w:instrText>
          </w:r>
          <w:r>
            <w:rPr>
              <w:bCs/>
              <w:highlight w:val="none"/>
              <w:lang w:val="zh-CN"/>
            </w:rPr>
            <w:fldChar w:fldCharType="separate"/>
          </w:r>
          <w:r>
            <w:rPr>
              <w:rFonts w:hint="eastAsia"/>
            </w:rPr>
            <w:t xml:space="preserve">1.1.7 </w:t>
          </w:r>
          <w:r>
            <w:rPr>
              <w:rFonts w:hint="eastAsia"/>
              <w:highlight w:val="none"/>
            </w:rPr>
            <w:t>规划分析</w:t>
          </w:r>
          <w:r>
            <w:tab/>
          </w:r>
          <w:r>
            <w:fldChar w:fldCharType="begin"/>
          </w:r>
          <w:r>
            <w:instrText xml:space="preserve"> PAGEREF _Toc32711 \h </w:instrText>
          </w:r>
          <w:r>
            <w:fldChar w:fldCharType="separate"/>
          </w:r>
          <w:r>
            <w:t>7</w:t>
          </w:r>
          <w:r>
            <w:fldChar w:fldCharType="end"/>
          </w:r>
          <w:r>
            <w:rPr>
              <w:bCs/>
              <w:highlight w:val="none"/>
              <w:lang w:val="zh-CN"/>
            </w:rPr>
            <w:fldChar w:fldCharType="end"/>
          </w:r>
          <w:bookmarkStart w:id="28" w:name="_GoBack"/>
          <w:bookmarkEnd w:id="28"/>
        </w:p>
        <w:p w14:paraId="7E8B4DAB">
          <w:pPr>
            <w:pStyle w:val="10"/>
            <w:tabs>
              <w:tab w:val="right" w:leader="dot" w:pos="9865"/>
            </w:tabs>
          </w:pPr>
          <w:r>
            <w:rPr>
              <w:bCs/>
              <w:highlight w:val="none"/>
              <w:lang w:val="zh-CN"/>
            </w:rPr>
            <w:fldChar w:fldCharType="begin"/>
          </w:r>
          <w:r>
            <w:rPr>
              <w:bCs/>
              <w:highlight w:val="none"/>
              <w:lang w:val="zh-CN"/>
            </w:rPr>
            <w:instrText xml:space="preserve"> HYPERLINK \l _Toc21287 </w:instrText>
          </w:r>
          <w:r>
            <w:rPr>
              <w:bCs/>
              <w:highlight w:val="none"/>
              <w:lang w:val="zh-CN"/>
            </w:rPr>
            <w:fldChar w:fldCharType="separate"/>
          </w:r>
          <w:r>
            <w:rPr>
              <w:rFonts w:hint="eastAsia"/>
            </w:rPr>
            <w:t xml:space="preserve">1.1.8 </w:t>
          </w:r>
          <w:r>
            <w:rPr>
              <w:rFonts w:hint="eastAsia"/>
              <w:highlight w:val="none"/>
            </w:rPr>
            <w:t>设计内容</w:t>
          </w:r>
          <w:r>
            <w:tab/>
          </w:r>
          <w:r>
            <w:fldChar w:fldCharType="begin"/>
          </w:r>
          <w:r>
            <w:instrText xml:space="preserve"> PAGEREF _Toc21287 \h </w:instrText>
          </w:r>
          <w:r>
            <w:fldChar w:fldCharType="separate"/>
          </w:r>
          <w:r>
            <w:t>9</w:t>
          </w:r>
          <w:r>
            <w:fldChar w:fldCharType="end"/>
          </w:r>
          <w:r>
            <w:rPr>
              <w:bCs/>
              <w:highlight w:val="none"/>
              <w:lang w:val="zh-CN"/>
            </w:rPr>
            <w:fldChar w:fldCharType="end"/>
          </w:r>
        </w:p>
        <w:p w14:paraId="30BBE351">
          <w:pPr>
            <w:pStyle w:val="10"/>
            <w:tabs>
              <w:tab w:val="right" w:leader="dot" w:pos="9865"/>
            </w:tabs>
          </w:pPr>
          <w:r>
            <w:rPr>
              <w:bCs/>
              <w:highlight w:val="none"/>
              <w:lang w:val="zh-CN"/>
            </w:rPr>
            <w:fldChar w:fldCharType="begin"/>
          </w:r>
          <w:r>
            <w:rPr>
              <w:bCs/>
              <w:highlight w:val="none"/>
              <w:lang w:val="zh-CN"/>
            </w:rPr>
            <w:instrText xml:space="preserve"> HYPERLINK \l _Toc6930 </w:instrText>
          </w:r>
          <w:r>
            <w:rPr>
              <w:bCs/>
              <w:highlight w:val="none"/>
              <w:lang w:val="zh-CN"/>
            </w:rPr>
            <w:fldChar w:fldCharType="separate"/>
          </w:r>
          <w:r>
            <w:rPr>
              <w:rFonts w:hint="eastAsia"/>
            </w:rPr>
            <w:t xml:space="preserve">1.1.9 </w:t>
          </w:r>
          <w:r>
            <w:rPr>
              <w:rFonts w:hint="eastAsia"/>
              <w:highlight w:val="none"/>
            </w:rPr>
            <w:t>管道基坑开挖</w:t>
          </w:r>
          <w:r>
            <w:tab/>
          </w:r>
          <w:r>
            <w:fldChar w:fldCharType="begin"/>
          </w:r>
          <w:r>
            <w:instrText xml:space="preserve"> PAGEREF _Toc6930 \h </w:instrText>
          </w:r>
          <w:r>
            <w:fldChar w:fldCharType="separate"/>
          </w:r>
          <w:r>
            <w:t>10</w:t>
          </w:r>
          <w:r>
            <w:fldChar w:fldCharType="end"/>
          </w:r>
          <w:r>
            <w:rPr>
              <w:bCs/>
              <w:highlight w:val="none"/>
              <w:lang w:val="zh-CN"/>
            </w:rPr>
            <w:fldChar w:fldCharType="end"/>
          </w:r>
        </w:p>
        <w:p w14:paraId="70E3B795">
          <w:pPr>
            <w:pStyle w:val="10"/>
            <w:tabs>
              <w:tab w:val="right" w:leader="dot" w:pos="9865"/>
            </w:tabs>
          </w:pPr>
          <w:r>
            <w:rPr>
              <w:bCs/>
              <w:highlight w:val="none"/>
              <w:lang w:val="zh-CN"/>
            </w:rPr>
            <w:fldChar w:fldCharType="begin"/>
          </w:r>
          <w:r>
            <w:rPr>
              <w:bCs/>
              <w:highlight w:val="none"/>
              <w:lang w:val="zh-CN"/>
            </w:rPr>
            <w:instrText xml:space="preserve"> HYPERLINK \l _Toc29600 </w:instrText>
          </w:r>
          <w:r>
            <w:rPr>
              <w:bCs/>
              <w:highlight w:val="none"/>
              <w:lang w:val="zh-CN"/>
            </w:rPr>
            <w:fldChar w:fldCharType="separate"/>
          </w:r>
          <w:r>
            <w:rPr>
              <w:rFonts w:hint="eastAsia"/>
            </w:rPr>
            <w:t xml:space="preserve">1.1.10 </w:t>
          </w:r>
          <w:r>
            <w:rPr>
              <w:rFonts w:hint="eastAsia"/>
              <w:highlight w:val="none"/>
            </w:rPr>
            <w:t>管材及管道附属构筑物</w:t>
          </w:r>
          <w:r>
            <w:tab/>
          </w:r>
          <w:r>
            <w:fldChar w:fldCharType="begin"/>
          </w:r>
          <w:r>
            <w:instrText xml:space="preserve"> PAGEREF _Toc29600 \h </w:instrText>
          </w:r>
          <w:r>
            <w:fldChar w:fldCharType="separate"/>
          </w:r>
          <w:r>
            <w:t>11</w:t>
          </w:r>
          <w:r>
            <w:fldChar w:fldCharType="end"/>
          </w:r>
          <w:r>
            <w:rPr>
              <w:bCs/>
              <w:highlight w:val="none"/>
              <w:lang w:val="zh-CN"/>
            </w:rPr>
            <w:fldChar w:fldCharType="end"/>
          </w:r>
        </w:p>
        <w:p w14:paraId="5ED3D42B">
          <w:pPr>
            <w:pStyle w:val="10"/>
            <w:tabs>
              <w:tab w:val="right" w:leader="dot" w:pos="9865"/>
            </w:tabs>
          </w:pPr>
          <w:r>
            <w:rPr>
              <w:bCs/>
              <w:highlight w:val="none"/>
              <w:lang w:val="zh-CN"/>
            </w:rPr>
            <w:fldChar w:fldCharType="begin"/>
          </w:r>
          <w:r>
            <w:rPr>
              <w:bCs/>
              <w:highlight w:val="none"/>
              <w:lang w:val="zh-CN"/>
            </w:rPr>
            <w:instrText xml:space="preserve"> HYPERLINK \l _Toc13751 </w:instrText>
          </w:r>
          <w:r>
            <w:rPr>
              <w:bCs/>
              <w:highlight w:val="none"/>
              <w:lang w:val="zh-CN"/>
            </w:rPr>
            <w:fldChar w:fldCharType="separate"/>
          </w:r>
          <w:r>
            <w:rPr>
              <w:rFonts w:hint="eastAsia"/>
            </w:rPr>
            <w:t xml:space="preserve">1.1.11 </w:t>
          </w:r>
          <w:r>
            <w:rPr>
              <w:rFonts w:hint="eastAsia"/>
              <w:highlight w:val="none"/>
            </w:rPr>
            <w:t>管道安装要求</w:t>
          </w:r>
          <w:r>
            <w:tab/>
          </w:r>
          <w:r>
            <w:fldChar w:fldCharType="begin"/>
          </w:r>
          <w:r>
            <w:instrText xml:space="preserve"> PAGEREF _Toc13751 \h </w:instrText>
          </w:r>
          <w:r>
            <w:fldChar w:fldCharType="separate"/>
          </w:r>
          <w:r>
            <w:t>12</w:t>
          </w:r>
          <w:r>
            <w:fldChar w:fldCharType="end"/>
          </w:r>
          <w:r>
            <w:rPr>
              <w:bCs/>
              <w:highlight w:val="none"/>
              <w:lang w:val="zh-CN"/>
            </w:rPr>
            <w:fldChar w:fldCharType="end"/>
          </w:r>
        </w:p>
        <w:p w14:paraId="7768AB8A">
          <w:pPr>
            <w:pStyle w:val="10"/>
            <w:tabs>
              <w:tab w:val="right" w:leader="dot" w:pos="9865"/>
            </w:tabs>
          </w:pPr>
          <w:r>
            <w:rPr>
              <w:bCs/>
              <w:highlight w:val="none"/>
              <w:lang w:val="zh-CN"/>
            </w:rPr>
            <w:fldChar w:fldCharType="begin"/>
          </w:r>
          <w:r>
            <w:rPr>
              <w:bCs/>
              <w:highlight w:val="none"/>
              <w:lang w:val="zh-CN"/>
            </w:rPr>
            <w:instrText xml:space="preserve"> HYPERLINK \l _Toc13852 </w:instrText>
          </w:r>
          <w:r>
            <w:rPr>
              <w:bCs/>
              <w:highlight w:val="none"/>
              <w:lang w:val="zh-CN"/>
            </w:rPr>
            <w:fldChar w:fldCharType="separate"/>
          </w:r>
          <w:r>
            <w:rPr>
              <w:rFonts w:hint="eastAsia"/>
            </w:rPr>
            <w:t xml:space="preserve">1.1.12 </w:t>
          </w:r>
          <w:r>
            <w:rPr>
              <w:rFonts w:hint="eastAsia"/>
              <w:highlight w:val="none"/>
            </w:rPr>
            <w:t>工程施工</w:t>
          </w:r>
          <w:r>
            <w:tab/>
          </w:r>
          <w:r>
            <w:fldChar w:fldCharType="begin"/>
          </w:r>
          <w:r>
            <w:instrText xml:space="preserve"> PAGEREF _Toc13852 \h </w:instrText>
          </w:r>
          <w:r>
            <w:fldChar w:fldCharType="separate"/>
          </w:r>
          <w:r>
            <w:t>13</w:t>
          </w:r>
          <w:r>
            <w:fldChar w:fldCharType="end"/>
          </w:r>
          <w:r>
            <w:rPr>
              <w:bCs/>
              <w:highlight w:val="none"/>
              <w:lang w:val="zh-CN"/>
            </w:rPr>
            <w:fldChar w:fldCharType="end"/>
          </w:r>
        </w:p>
        <w:p w14:paraId="383AB0C0">
          <w:pPr>
            <w:pStyle w:val="10"/>
            <w:tabs>
              <w:tab w:val="right" w:leader="dot" w:pos="9865"/>
            </w:tabs>
          </w:pPr>
          <w:r>
            <w:rPr>
              <w:bCs/>
              <w:highlight w:val="none"/>
              <w:lang w:val="zh-CN"/>
            </w:rPr>
            <w:fldChar w:fldCharType="begin"/>
          </w:r>
          <w:r>
            <w:rPr>
              <w:bCs/>
              <w:highlight w:val="none"/>
              <w:lang w:val="zh-CN"/>
            </w:rPr>
            <w:instrText xml:space="preserve"> HYPERLINK \l _Toc8988 </w:instrText>
          </w:r>
          <w:r>
            <w:rPr>
              <w:bCs/>
              <w:highlight w:val="none"/>
              <w:lang w:val="zh-CN"/>
            </w:rPr>
            <w:fldChar w:fldCharType="separate"/>
          </w:r>
          <w:r>
            <w:rPr>
              <w:rFonts w:hint="eastAsia"/>
            </w:rPr>
            <w:t xml:space="preserve">1.1.13 </w:t>
          </w:r>
          <w:r>
            <w:rPr>
              <w:rFonts w:hint="eastAsia"/>
              <w:highlight w:val="none"/>
            </w:rPr>
            <w:t>施工注意事项</w:t>
          </w:r>
          <w:r>
            <w:tab/>
          </w:r>
          <w:r>
            <w:fldChar w:fldCharType="begin"/>
          </w:r>
          <w:r>
            <w:instrText xml:space="preserve"> PAGEREF _Toc8988 \h </w:instrText>
          </w:r>
          <w:r>
            <w:fldChar w:fldCharType="separate"/>
          </w:r>
          <w:r>
            <w:t>13</w:t>
          </w:r>
          <w:r>
            <w:fldChar w:fldCharType="end"/>
          </w:r>
          <w:r>
            <w:rPr>
              <w:bCs/>
              <w:highlight w:val="none"/>
              <w:lang w:val="zh-CN"/>
            </w:rPr>
            <w:fldChar w:fldCharType="end"/>
          </w:r>
        </w:p>
        <w:p w14:paraId="24294D8A">
          <w:pPr>
            <w:pStyle w:val="10"/>
            <w:tabs>
              <w:tab w:val="right" w:leader="dot" w:pos="9865"/>
            </w:tabs>
          </w:pPr>
          <w:r>
            <w:rPr>
              <w:bCs/>
              <w:highlight w:val="none"/>
              <w:lang w:val="zh-CN"/>
            </w:rPr>
            <w:fldChar w:fldCharType="begin"/>
          </w:r>
          <w:r>
            <w:rPr>
              <w:bCs/>
              <w:highlight w:val="none"/>
              <w:lang w:val="zh-CN"/>
            </w:rPr>
            <w:instrText xml:space="preserve"> HYPERLINK \l _Toc2813 </w:instrText>
          </w:r>
          <w:r>
            <w:rPr>
              <w:bCs/>
              <w:highlight w:val="none"/>
              <w:lang w:val="zh-CN"/>
            </w:rPr>
            <w:fldChar w:fldCharType="separate"/>
          </w:r>
          <w:r>
            <w:rPr>
              <w:rFonts w:hint="eastAsia"/>
            </w:rPr>
            <w:t xml:space="preserve">1.1.14 </w:t>
          </w:r>
          <w:r>
            <w:rPr>
              <w:rFonts w:hint="eastAsia"/>
              <w:highlight w:val="none"/>
            </w:rPr>
            <w:t>施工安全和预防事故发生的措施建议和指导意见</w:t>
          </w:r>
          <w:r>
            <w:tab/>
          </w:r>
          <w:r>
            <w:fldChar w:fldCharType="begin"/>
          </w:r>
          <w:r>
            <w:instrText xml:space="preserve"> PAGEREF _Toc2813 \h </w:instrText>
          </w:r>
          <w:r>
            <w:fldChar w:fldCharType="separate"/>
          </w:r>
          <w:r>
            <w:t>14</w:t>
          </w:r>
          <w:r>
            <w:fldChar w:fldCharType="end"/>
          </w:r>
          <w:r>
            <w:rPr>
              <w:bCs/>
              <w:highlight w:val="none"/>
              <w:lang w:val="zh-CN"/>
            </w:rPr>
            <w:fldChar w:fldCharType="end"/>
          </w:r>
        </w:p>
        <w:p w14:paraId="0D3CA7E2">
          <w:pPr>
            <w:pStyle w:val="10"/>
            <w:tabs>
              <w:tab w:val="right" w:leader="dot" w:pos="9865"/>
            </w:tabs>
          </w:pPr>
          <w:r>
            <w:rPr>
              <w:bCs/>
              <w:highlight w:val="none"/>
              <w:lang w:val="zh-CN"/>
            </w:rPr>
            <w:fldChar w:fldCharType="begin"/>
          </w:r>
          <w:r>
            <w:rPr>
              <w:bCs/>
              <w:highlight w:val="none"/>
              <w:lang w:val="zh-CN"/>
            </w:rPr>
            <w:instrText xml:space="preserve"> HYPERLINK \l _Toc6759 </w:instrText>
          </w:r>
          <w:r>
            <w:rPr>
              <w:bCs/>
              <w:highlight w:val="none"/>
              <w:lang w:val="zh-CN"/>
            </w:rPr>
            <w:fldChar w:fldCharType="separate"/>
          </w:r>
          <w:r>
            <w:rPr>
              <w:rFonts w:hint="eastAsia"/>
            </w:rPr>
            <w:t xml:space="preserve">1.1.15 </w:t>
          </w:r>
          <w:r>
            <w:rPr>
              <w:rFonts w:hint="eastAsia"/>
              <w:highlight w:val="none"/>
            </w:rPr>
            <w:t>危险性较大的分部分项工程施工注意事项</w:t>
          </w:r>
          <w:r>
            <w:tab/>
          </w:r>
          <w:r>
            <w:fldChar w:fldCharType="begin"/>
          </w:r>
          <w:r>
            <w:instrText xml:space="preserve"> PAGEREF _Toc6759 \h </w:instrText>
          </w:r>
          <w:r>
            <w:fldChar w:fldCharType="separate"/>
          </w:r>
          <w:r>
            <w:t>14</w:t>
          </w:r>
          <w:r>
            <w:fldChar w:fldCharType="end"/>
          </w:r>
          <w:r>
            <w:rPr>
              <w:bCs/>
              <w:highlight w:val="none"/>
              <w:lang w:val="zh-CN"/>
            </w:rPr>
            <w:fldChar w:fldCharType="end"/>
          </w:r>
        </w:p>
        <w:p w14:paraId="4CD11466">
          <w:pPr>
            <w:pStyle w:val="10"/>
            <w:tabs>
              <w:tab w:val="right" w:leader="dot" w:pos="9865"/>
            </w:tabs>
          </w:pPr>
          <w:r>
            <w:rPr>
              <w:bCs/>
              <w:highlight w:val="none"/>
              <w:lang w:val="zh-CN"/>
            </w:rPr>
            <w:fldChar w:fldCharType="begin"/>
          </w:r>
          <w:r>
            <w:rPr>
              <w:bCs/>
              <w:highlight w:val="none"/>
              <w:lang w:val="zh-CN"/>
            </w:rPr>
            <w:instrText xml:space="preserve"> HYPERLINK \l _Toc23541 </w:instrText>
          </w:r>
          <w:r>
            <w:rPr>
              <w:bCs/>
              <w:highlight w:val="none"/>
              <w:lang w:val="zh-CN"/>
            </w:rPr>
            <w:fldChar w:fldCharType="separate"/>
          </w:r>
          <w:r>
            <w:rPr>
              <w:rFonts w:hint="eastAsia"/>
            </w:rPr>
            <w:t xml:space="preserve">1.1.16 </w:t>
          </w:r>
          <w:r>
            <w:rPr>
              <w:rFonts w:hint="eastAsia"/>
              <w:highlight w:val="yellow"/>
              <w:lang w:val="en-US" w:eastAsia="zh-CN"/>
            </w:rPr>
            <w:t>工程安全技术要求</w:t>
          </w:r>
          <w:r>
            <w:tab/>
          </w:r>
          <w:r>
            <w:fldChar w:fldCharType="begin"/>
          </w:r>
          <w:r>
            <w:instrText xml:space="preserve"> PAGEREF _Toc23541 \h </w:instrText>
          </w:r>
          <w:r>
            <w:fldChar w:fldCharType="separate"/>
          </w:r>
          <w:r>
            <w:t>15</w:t>
          </w:r>
          <w:r>
            <w:fldChar w:fldCharType="end"/>
          </w:r>
          <w:r>
            <w:rPr>
              <w:bCs/>
              <w:highlight w:val="none"/>
              <w:lang w:val="zh-CN"/>
            </w:rPr>
            <w:fldChar w:fldCharType="end"/>
          </w:r>
        </w:p>
        <w:p w14:paraId="1BAF1316">
          <w:pPr>
            <w:pStyle w:val="17"/>
            <w:tabs>
              <w:tab w:val="right" w:leader="dot" w:pos="9865"/>
            </w:tabs>
          </w:pPr>
          <w:r>
            <w:rPr>
              <w:bCs/>
              <w:highlight w:val="none"/>
              <w:lang w:val="zh-CN"/>
            </w:rPr>
            <w:fldChar w:fldCharType="begin"/>
          </w:r>
          <w:r>
            <w:rPr>
              <w:bCs/>
              <w:highlight w:val="none"/>
              <w:lang w:val="zh-CN"/>
            </w:rPr>
            <w:instrText xml:space="preserve"> HYPERLINK \l _Toc14619 </w:instrText>
          </w:r>
          <w:r>
            <w:rPr>
              <w:bCs/>
              <w:highlight w:val="none"/>
              <w:lang w:val="zh-CN"/>
            </w:rPr>
            <w:fldChar w:fldCharType="separate"/>
          </w:r>
          <w:r>
            <w:rPr>
              <w:rFonts w:hint="eastAsia"/>
            </w:rPr>
            <w:t>1.2 附件</w:t>
          </w:r>
          <w:r>
            <w:tab/>
          </w:r>
          <w:r>
            <w:fldChar w:fldCharType="begin"/>
          </w:r>
          <w:r>
            <w:instrText xml:space="preserve"> PAGEREF _Toc14619 \h </w:instrText>
          </w:r>
          <w:r>
            <w:fldChar w:fldCharType="separate"/>
          </w:r>
          <w:r>
            <w:t>18</w:t>
          </w:r>
          <w:r>
            <w:fldChar w:fldCharType="end"/>
          </w:r>
          <w:r>
            <w:rPr>
              <w:bCs/>
              <w:highlight w:val="none"/>
              <w:lang w:val="zh-CN"/>
            </w:rPr>
            <w:fldChar w:fldCharType="end"/>
          </w:r>
        </w:p>
        <w:p w14:paraId="725A9107">
          <w:pPr>
            <w:ind w:firstLine="480"/>
            <w:rPr>
              <w:highlight w:val="none"/>
            </w:rPr>
          </w:pPr>
          <w:r>
            <w:rPr>
              <w:bCs/>
              <w:highlight w:val="none"/>
              <w:lang w:val="zh-CN"/>
            </w:rPr>
            <w:fldChar w:fldCharType="end"/>
          </w:r>
        </w:p>
      </w:sdtContent>
    </w:sdt>
    <w:p w14:paraId="177AAA9D">
      <w:pPr>
        <w:widowControl/>
        <w:spacing w:line="240" w:lineRule="auto"/>
        <w:ind w:firstLine="0" w:firstLineChars="0"/>
        <w:jc w:val="left"/>
        <w:rPr>
          <w:b/>
          <w:bCs/>
          <w:sz w:val="36"/>
          <w:szCs w:val="36"/>
          <w:highlight w:val="none"/>
        </w:rPr>
      </w:pPr>
      <w:r>
        <w:rPr>
          <w:b/>
          <w:bCs/>
          <w:sz w:val="36"/>
          <w:szCs w:val="36"/>
          <w:highlight w:val="none"/>
        </w:rPr>
        <w:br w:type="page"/>
      </w:r>
    </w:p>
    <w:p w14:paraId="57F00042">
      <w:pPr>
        <w:ind w:firstLine="0" w:firstLineChars="0"/>
        <w:jc w:val="center"/>
        <w:rPr>
          <w:b/>
          <w:bCs/>
          <w:sz w:val="36"/>
          <w:szCs w:val="36"/>
          <w:highlight w:val="none"/>
        </w:rPr>
      </w:pPr>
      <w:r>
        <w:rPr>
          <w:rFonts w:hint="eastAsia"/>
          <w:b/>
          <w:bCs/>
          <w:sz w:val="36"/>
          <w:szCs w:val="36"/>
          <w:highlight w:val="none"/>
        </w:rPr>
        <w:t>设计总说明</w:t>
      </w:r>
    </w:p>
    <w:p w14:paraId="2D46B8CC">
      <w:pPr>
        <w:pStyle w:val="3"/>
        <w:spacing w:before="163" w:after="163"/>
        <w:ind w:firstLine="602"/>
        <w:rPr>
          <w:color w:val="auto"/>
          <w:highlight w:val="none"/>
        </w:rPr>
      </w:pPr>
      <w:bookmarkStart w:id="2" w:name="_Toc2703"/>
      <w:r>
        <w:rPr>
          <w:rFonts w:hint="eastAsia"/>
          <w:color w:val="auto"/>
          <w:highlight w:val="none"/>
        </w:rPr>
        <w:t>道路排水工程</w:t>
      </w:r>
      <w:bookmarkEnd w:id="2"/>
    </w:p>
    <w:p w14:paraId="0D2C3544">
      <w:pPr>
        <w:pStyle w:val="4"/>
        <w:spacing w:before="163" w:after="163"/>
        <w:ind w:firstLine="560"/>
        <w:rPr>
          <w:color w:val="auto"/>
          <w:highlight w:val="none"/>
        </w:rPr>
      </w:pPr>
      <w:bookmarkStart w:id="3" w:name="_Toc23450"/>
      <w:r>
        <w:rPr>
          <w:rFonts w:hint="eastAsia"/>
          <w:color w:val="auto"/>
          <w:highlight w:val="none"/>
        </w:rPr>
        <w:t>设计范围</w:t>
      </w:r>
      <w:bookmarkEnd w:id="3"/>
    </w:p>
    <w:p w14:paraId="74042C4B">
      <w:pPr>
        <w:snapToGrid w:val="0"/>
        <w:ind w:firstLine="484"/>
        <w:rPr>
          <w:highlight w:val="none"/>
        </w:rPr>
      </w:pPr>
      <w:r>
        <w:rPr>
          <w:rFonts w:hint="eastAsia"/>
          <w:spacing w:val="1"/>
          <w:highlight w:val="none"/>
        </w:rPr>
        <w:t>永安东路：西起机场北进场路，东至支路四，全长为3</w:t>
      </w:r>
      <w:r>
        <w:rPr>
          <w:spacing w:val="1"/>
          <w:highlight w:val="none"/>
        </w:rPr>
        <w:t>02.27</w:t>
      </w:r>
      <w:r>
        <w:rPr>
          <w:rFonts w:hint="eastAsia"/>
          <w:spacing w:val="1"/>
          <w:highlight w:val="none"/>
        </w:rPr>
        <w:t>m，红线宽度</w:t>
      </w:r>
      <w:r>
        <w:rPr>
          <w:rFonts w:hint="eastAsia"/>
          <w:highlight w:val="none"/>
        </w:rPr>
        <w:t>为</w:t>
      </w:r>
      <w:r>
        <w:rPr>
          <w:spacing w:val="1"/>
          <w:highlight w:val="none"/>
        </w:rPr>
        <w:t>50m</w:t>
      </w:r>
      <w:r>
        <w:rPr>
          <w:rFonts w:hint="eastAsia"/>
          <w:spacing w:val="1"/>
          <w:highlight w:val="none"/>
        </w:rPr>
        <w:t>，采</w:t>
      </w:r>
      <w:r>
        <w:rPr>
          <w:rFonts w:hint="eastAsia"/>
          <w:spacing w:val="3"/>
          <w:highlight w:val="none"/>
        </w:rPr>
        <w:t>用城市次干路标准设计，设计时速</w:t>
      </w:r>
      <w:r>
        <w:rPr>
          <w:rFonts w:hint="eastAsia"/>
          <w:spacing w:val="2"/>
          <w:highlight w:val="none"/>
        </w:rPr>
        <w:t>为</w:t>
      </w:r>
      <w:r>
        <w:rPr>
          <w:highlight w:val="none"/>
        </w:rPr>
        <w:t>40km/h</w:t>
      </w:r>
      <w:r>
        <w:rPr>
          <w:rFonts w:hint="eastAsia"/>
          <w:highlight w:val="none"/>
        </w:rPr>
        <w:t>，</w:t>
      </w:r>
      <w:r>
        <w:rPr>
          <w:rFonts w:hint="eastAsia"/>
          <w:spacing w:val="4"/>
          <w:highlight w:val="none"/>
        </w:rPr>
        <w:t>双向六车道。</w:t>
      </w:r>
    </w:p>
    <w:p w14:paraId="6B3C7877">
      <w:pPr>
        <w:ind w:firstLine="480"/>
        <w:rPr>
          <w:rFonts w:hint="default" w:eastAsia="宋体"/>
          <w:highlight w:val="none"/>
          <w:lang w:val="en-US" w:eastAsia="zh-CN"/>
        </w:rPr>
      </w:pPr>
      <w:r>
        <w:rPr>
          <w:rFonts w:hint="eastAsia"/>
          <w:highlight w:val="none"/>
        </w:rPr>
        <w:t>本工程设计范围</w:t>
      </w:r>
      <w:r>
        <w:rPr>
          <w:rFonts w:hint="eastAsia"/>
          <w:highlight w:val="none"/>
          <w:lang w:val="en-US" w:eastAsia="zh-CN"/>
        </w:rPr>
        <w:t>为YAD K0+259.4~YAD K0+350.4，设计范围内雨污水主干管已由广州空港经济区起步区拆迁安置区（花东安置区）一期工程项目实施，本次排水设计仅涉及支管及预留管设计。</w:t>
      </w:r>
    </w:p>
    <w:p w14:paraId="5D8C88A1">
      <w:pPr>
        <w:ind w:firstLine="480"/>
        <w:rPr>
          <w:rFonts w:hint="eastAsia"/>
          <w:highlight w:val="none"/>
        </w:rPr>
      </w:pPr>
      <w:r>
        <w:rPr>
          <w:rFonts w:hint="eastAsia"/>
          <w:highlight w:val="none"/>
        </w:rPr>
        <w:t>本项目高程采用广州高程系统，坐标系采用广州2</w:t>
      </w:r>
      <w:r>
        <w:rPr>
          <w:highlight w:val="none"/>
        </w:rPr>
        <w:t>000</w:t>
      </w:r>
      <w:r>
        <w:rPr>
          <w:rFonts w:hint="eastAsia"/>
          <w:highlight w:val="none"/>
        </w:rPr>
        <w:t>坐标系统。</w:t>
      </w:r>
    </w:p>
    <w:p w14:paraId="08152B24">
      <w:pPr>
        <w:spacing w:line="360" w:lineRule="auto"/>
        <w:ind w:firstLine="480" w:firstLineChars="200"/>
        <w:rPr>
          <w:rFonts w:hint="default" w:eastAsia="宋体"/>
          <w:highlight w:val="yellow"/>
          <w:lang w:val="en-US" w:eastAsia="zh-CN"/>
        </w:rPr>
      </w:pPr>
      <w:r>
        <w:rPr>
          <w:rFonts w:hint="eastAsia" w:ascii="宋体" w:hAnsi="宋体"/>
          <w:sz w:val="24"/>
          <w:highlight w:val="yellow"/>
        </w:rPr>
        <w:t>本设计中的排水管道及构筑物设计合理使用年限为</w:t>
      </w:r>
      <w:r>
        <w:rPr>
          <w:rFonts w:ascii="宋体" w:hAnsi="宋体"/>
          <w:sz w:val="24"/>
          <w:highlight w:val="yellow"/>
        </w:rPr>
        <w:t>50</w:t>
      </w:r>
      <w:r>
        <w:rPr>
          <w:rFonts w:hint="eastAsia" w:ascii="宋体" w:hAnsi="宋体"/>
          <w:sz w:val="24"/>
          <w:highlight w:val="yellow"/>
        </w:rPr>
        <w:t>年。</w:t>
      </w:r>
    </w:p>
    <w:p w14:paraId="73628132">
      <w:pPr>
        <w:pStyle w:val="4"/>
        <w:spacing w:before="163" w:after="163"/>
        <w:ind w:firstLine="560"/>
        <w:rPr>
          <w:color w:val="auto"/>
          <w:highlight w:val="none"/>
        </w:rPr>
      </w:pPr>
      <w:bookmarkStart w:id="4" w:name="_Toc48815976"/>
      <w:bookmarkStart w:id="5" w:name="_Toc5448"/>
      <w:r>
        <w:rPr>
          <w:rFonts w:hint="eastAsia"/>
          <w:color w:val="auto"/>
          <w:highlight w:val="none"/>
        </w:rPr>
        <w:t>设计原则</w:t>
      </w:r>
      <w:bookmarkEnd w:id="4"/>
      <w:bookmarkEnd w:id="5"/>
    </w:p>
    <w:p w14:paraId="25034CE8">
      <w:pPr>
        <w:ind w:firstLine="480"/>
        <w:rPr>
          <w:highlight w:val="none"/>
        </w:rPr>
      </w:pPr>
      <w:r>
        <w:rPr>
          <w:rFonts w:hint="eastAsia"/>
          <w:highlight w:val="none"/>
        </w:rPr>
        <w:t>（</w:t>
      </w:r>
      <w:r>
        <w:rPr>
          <w:highlight w:val="none"/>
        </w:rPr>
        <w:t>1</w:t>
      </w:r>
      <w:r>
        <w:rPr>
          <w:rFonts w:hint="eastAsia"/>
          <w:highlight w:val="none"/>
        </w:rPr>
        <w:t>）充分利用地形条件，遵循“高水高排、低水低排”的原则，尽量减少管网投资。</w:t>
      </w:r>
    </w:p>
    <w:p w14:paraId="0AAA2FEF">
      <w:pPr>
        <w:ind w:firstLine="480"/>
        <w:rPr>
          <w:highlight w:val="none"/>
        </w:rPr>
      </w:pPr>
      <w:r>
        <w:rPr>
          <w:rFonts w:hint="eastAsia"/>
          <w:highlight w:val="none"/>
        </w:rPr>
        <w:t>（</w:t>
      </w:r>
      <w:r>
        <w:rPr>
          <w:highlight w:val="none"/>
        </w:rPr>
        <w:t>2</w:t>
      </w:r>
      <w:r>
        <w:rPr>
          <w:rFonts w:hint="eastAsia"/>
          <w:highlight w:val="none"/>
        </w:rPr>
        <w:t>）根据道路走向及周围地块情况，结合规划，同时与正在或即将建设的工程相协调，合理布置排水管道，再利用现有排水设施的基础上，根据规划进行改造完善。</w:t>
      </w:r>
    </w:p>
    <w:p w14:paraId="3DFD9A86">
      <w:pPr>
        <w:ind w:firstLine="480"/>
        <w:rPr>
          <w:highlight w:val="none"/>
        </w:rPr>
      </w:pPr>
      <w:r>
        <w:rPr>
          <w:rFonts w:hint="eastAsia"/>
          <w:highlight w:val="none"/>
        </w:rPr>
        <w:t>（</w:t>
      </w:r>
      <w:r>
        <w:rPr>
          <w:highlight w:val="none"/>
        </w:rPr>
        <w:t>3</w:t>
      </w:r>
      <w:r>
        <w:rPr>
          <w:rFonts w:hint="eastAsia"/>
          <w:highlight w:val="none"/>
        </w:rPr>
        <w:t>）尽量避免长距离输送导致管径和埋深过大，充分利用地形坡度，合理减小埋深，以节省工程投资并保证排水顺畅。</w:t>
      </w:r>
    </w:p>
    <w:p w14:paraId="451DD115">
      <w:pPr>
        <w:ind w:firstLine="480"/>
        <w:rPr>
          <w:highlight w:val="none"/>
        </w:rPr>
      </w:pPr>
      <w:r>
        <w:rPr>
          <w:rFonts w:hint="eastAsia"/>
          <w:highlight w:val="none"/>
        </w:rPr>
        <w:t>（</w:t>
      </w:r>
      <w:r>
        <w:rPr>
          <w:highlight w:val="none"/>
        </w:rPr>
        <w:t>4</w:t>
      </w:r>
      <w:r>
        <w:rPr>
          <w:rFonts w:hint="eastAsia"/>
          <w:highlight w:val="none"/>
        </w:rPr>
        <w:t>）优化管线平面设计，尽量减少管线交叉。</w:t>
      </w:r>
    </w:p>
    <w:p w14:paraId="23EAFAA2">
      <w:pPr>
        <w:ind w:firstLine="480"/>
        <w:rPr>
          <w:highlight w:val="none"/>
        </w:rPr>
      </w:pPr>
      <w:r>
        <w:rPr>
          <w:rFonts w:hint="eastAsia"/>
          <w:highlight w:val="none"/>
        </w:rPr>
        <w:t>（</w:t>
      </w:r>
      <w:r>
        <w:rPr>
          <w:highlight w:val="none"/>
        </w:rPr>
        <w:t>5</w:t>
      </w:r>
      <w:r>
        <w:rPr>
          <w:rFonts w:hint="eastAsia"/>
          <w:highlight w:val="none"/>
        </w:rPr>
        <w:t>）应作好管线预留衔接工作，保证远期支线的顺利接入。</w:t>
      </w:r>
    </w:p>
    <w:p w14:paraId="089DD0D4">
      <w:pPr>
        <w:ind w:firstLine="480"/>
        <w:rPr>
          <w:highlight w:val="none"/>
        </w:rPr>
      </w:pPr>
      <w:r>
        <w:rPr>
          <w:rFonts w:hint="eastAsia"/>
          <w:highlight w:val="none"/>
        </w:rPr>
        <w:t>（</w:t>
      </w:r>
      <w:r>
        <w:rPr>
          <w:highlight w:val="none"/>
        </w:rPr>
        <w:t>6</w:t>
      </w:r>
      <w:r>
        <w:rPr>
          <w:rFonts w:hint="eastAsia"/>
          <w:highlight w:val="none"/>
        </w:rPr>
        <w:t>）以人为本，保护环境。</w:t>
      </w:r>
      <w:bookmarkStart w:id="6" w:name="_Toc48815977"/>
    </w:p>
    <w:p w14:paraId="2960FC6E">
      <w:pPr>
        <w:pStyle w:val="4"/>
        <w:spacing w:before="163" w:after="163"/>
        <w:ind w:firstLine="560"/>
        <w:rPr>
          <w:color w:val="auto"/>
          <w:highlight w:val="none"/>
        </w:rPr>
      </w:pPr>
      <w:bookmarkStart w:id="7" w:name="_Toc24702"/>
      <w:r>
        <w:rPr>
          <w:rFonts w:hint="eastAsia"/>
          <w:color w:val="auto"/>
          <w:highlight w:val="none"/>
        </w:rPr>
        <w:t>设计依据</w:t>
      </w:r>
      <w:bookmarkEnd w:id="6"/>
      <w:bookmarkEnd w:id="7"/>
    </w:p>
    <w:p w14:paraId="08C0D045">
      <w:pPr>
        <w:pStyle w:val="5"/>
        <w:ind w:firstLine="482"/>
        <w:rPr>
          <w:color w:val="auto"/>
          <w:highlight w:val="none"/>
        </w:rPr>
      </w:pPr>
      <w:r>
        <w:rPr>
          <w:rFonts w:hint="eastAsia"/>
          <w:color w:val="auto"/>
          <w:highlight w:val="none"/>
        </w:rPr>
        <w:t>设计资料</w:t>
      </w:r>
    </w:p>
    <w:p w14:paraId="6802A568">
      <w:pPr>
        <w:ind w:firstLine="480"/>
        <w:rPr>
          <w:highlight w:val="none"/>
        </w:rPr>
      </w:pPr>
      <w:bookmarkStart w:id="8" w:name="_Toc39462785"/>
      <w:r>
        <w:rPr>
          <w:rFonts w:hint="eastAsia"/>
          <w:highlight w:val="none"/>
        </w:rPr>
        <w:t>（</w:t>
      </w:r>
      <w:r>
        <w:rPr>
          <w:highlight w:val="none"/>
        </w:rPr>
        <w:t>1</w:t>
      </w:r>
      <w:r>
        <w:rPr>
          <w:rFonts w:hint="eastAsia"/>
          <w:highlight w:val="none"/>
        </w:rPr>
        <w:t>）《广州空港经济区起步区控制性详细规划修编》；</w:t>
      </w:r>
    </w:p>
    <w:p w14:paraId="4890656A">
      <w:pPr>
        <w:ind w:firstLine="480"/>
        <w:rPr>
          <w:rFonts w:hint="eastAsia"/>
          <w:highlight w:val="yellow"/>
        </w:rPr>
      </w:pPr>
      <w:r>
        <w:rPr>
          <w:rFonts w:hint="eastAsia"/>
          <w:highlight w:val="yellow"/>
        </w:rPr>
        <w:t>（</w:t>
      </w:r>
      <w:r>
        <w:rPr>
          <w:highlight w:val="yellow"/>
        </w:rPr>
        <w:t>2</w:t>
      </w:r>
      <w:r>
        <w:rPr>
          <w:rFonts w:hint="eastAsia"/>
          <w:highlight w:val="yellow"/>
        </w:rPr>
        <w:t>）业主提供的相关资料。</w:t>
      </w:r>
    </w:p>
    <w:p w14:paraId="442B6B18">
      <w:pPr>
        <w:ind w:firstLine="480"/>
        <w:rPr>
          <w:rFonts w:hint="default" w:eastAsia="宋体"/>
          <w:highlight w:val="yellow"/>
          <w:lang w:val="en-US" w:eastAsia="zh-CN"/>
        </w:rPr>
      </w:pPr>
      <w:r>
        <w:rPr>
          <w:rFonts w:hint="eastAsia"/>
          <w:highlight w:val="yellow"/>
          <w:lang w:eastAsia="zh-CN"/>
        </w:rPr>
        <w:t>（</w:t>
      </w:r>
      <w:r>
        <w:rPr>
          <w:rFonts w:hint="eastAsia"/>
          <w:highlight w:val="yellow"/>
          <w:lang w:val="en-US" w:eastAsia="zh-CN"/>
        </w:rPr>
        <w:t>3</w:t>
      </w:r>
      <w:r>
        <w:rPr>
          <w:rFonts w:hint="eastAsia"/>
          <w:highlight w:val="yellow"/>
          <w:lang w:eastAsia="zh-CN"/>
        </w:rPr>
        <w:t>）</w:t>
      </w:r>
      <w:r>
        <w:rPr>
          <w:rFonts w:hint="eastAsia"/>
          <w:highlight w:val="yellow"/>
          <w:lang w:val="en-US" w:eastAsia="zh-CN"/>
        </w:rPr>
        <w:t>地形，地勘资料等</w:t>
      </w:r>
    </w:p>
    <w:bookmarkEnd w:id="8"/>
    <w:p w14:paraId="668F7D28">
      <w:pPr>
        <w:pStyle w:val="5"/>
        <w:ind w:firstLine="482"/>
        <w:rPr>
          <w:color w:val="auto"/>
          <w:highlight w:val="none"/>
        </w:rPr>
      </w:pPr>
      <w:r>
        <w:rPr>
          <w:rFonts w:hint="eastAsia"/>
          <w:color w:val="auto"/>
          <w:highlight w:val="none"/>
        </w:rPr>
        <w:t>采用的规范和设计标准</w:t>
      </w:r>
    </w:p>
    <w:p w14:paraId="29C145B8">
      <w:pPr>
        <w:ind w:firstLine="480"/>
        <w:rPr>
          <w:highlight w:val="none"/>
        </w:rPr>
      </w:pPr>
      <w:r>
        <w:rPr>
          <w:rFonts w:hint="eastAsia"/>
          <w:highlight w:val="none"/>
        </w:rPr>
        <w:t>（</w:t>
      </w:r>
      <w:r>
        <w:rPr>
          <w:highlight w:val="none"/>
        </w:rPr>
        <w:t>1</w:t>
      </w:r>
      <w:r>
        <w:rPr>
          <w:rFonts w:hint="eastAsia"/>
          <w:highlight w:val="none"/>
        </w:rPr>
        <w:t>）《城市排水工程规划规范》（</w:t>
      </w:r>
      <w:r>
        <w:rPr>
          <w:highlight w:val="none"/>
        </w:rPr>
        <w:t>GB50318-2017</w:t>
      </w:r>
      <w:r>
        <w:rPr>
          <w:rFonts w:hint="eastAsia"/>
          <w:highlight w:val="none"/>
        </w:rPr>
        <w:t>）；</w:t>
      </w:r>
    </w:p>
    <w:p w14:paraId="769C63AE">
      <w:pPr>
        <w:ind w:firstLine="480"/>
        <w:rPr>
          <w:highlight w:val="none"/>
        </w:rPr>
      </w:pPr>
      <w:r>
        <w:rPr>
          <w:rFonts w:hint="eastAsia"/>
          <w:highlight w:val="none"/>
        </w:rPr>
        <w:t>（</w:t>
      </w:r>
      <w:r>
        <w:rPr>
          <w:highlight w:val="none"/>
        </w:rPr>
        <w:t>2</w:t>
      </w:r>
      <w:r>
        <w:rPr>
          <w:rFonts w:hint="eastAsia"/>
          <w:highlight w:val="none"/>
        </w:rPr>
        <w:t>）</w:t>
      </w:r>
      <w:r>
        <w:rPr>
          <w:rFonts w:hint="eastAsia" w:ascii="宋体" w:hAnsi="宋体" w:eastAsia="宋体" w:cs="Times New Roman"/>
          <w:color w:val="auto"/>
          <w:sz w:val="24"/>
          <w:highlight w:val="none"/>
        </w:rPr>
        <w:t>《铸铁检查井盖》（CJ/T 511-2017）</w:t>
      </w:r>
      <w:r>
        <w:rPr>
          <w:rFonts w:hint="eastAsia"/>
          <w:highlight w:val="none"/>
        </w:rPr>
        <w:t>；</w:t>
      </w:r>
    </w:p>
    <w:p w14:paraId="68A9011F">
      <w:pPr>
        <w:ind w:firstLine="480"/>
        <w:rPr>
          <w:highlight w:val="none"/>
        </w:rPr>
      </w:pPr>
      <w:r>
        <w:rPr>
          <w:rFonts w:hint="eastAsia"/>
          <w:highlight w:val="none"/>
        </w:rPr>
        <w:t>（</w:t>
      </w:r>
      <w:r>
        <w:rPr>
          <w:highlight w:val="none"/>
        </w:rPr>
        <w:t>3</w:t>
      </w:r>
      <w:r>
        <w:rPr>
          <w:rFonts w:hint="eastAsia"/>
          <w:highlight w:val="none"/>
        </w:rPr>
        <w:t>）《城市工程管线综合规划规范》（</w:t>
      </w:r>
      <w:r>
        <w:rPr>
          <w:highlight w:val="none"/>
        </w:rPr>
        <w:t>GB50289-2016</w:t>
      </w:r>
      <w:r>
        <w:rPr>
          <w:rFonts w:hint="eastAsia"/>
          <w:highlight w:val="none"/>
        </w:rPr>
        <w:t>）；</w:t>
      </w:r>
    </w:p>
    <w:p w14:paraId="369CE64B">
      <w:pPr>
        <w:ind w:firstLine="480"/>
        <w:rPr>
          <w:highlight w:val="yellow"/>
        </w:rPr>
      </w:pPr>
      <w:r>
        <w:rPr>
          <w:rFonts w:hint="eastAsia"/>
          <w:highlight w:val="none"/>
        </w:rPr>
        <w:t>（</w:t>
      </w:r>
      <w:r>
        <w:rPr>
          <w:highlight w:val="none"/>
        </w:rPr>
        <w:t>4</w:t>
      </w:r>
      <w:r>
        <w:rPr>
          <w:rFonts w:hint="eastAsia"/>
          <w:highlight w:val="none"/>
        </w:rPr>
        <w:t>）</w:t>
      </w:r>
      <w:r>
        <w:rPr>
          <w:rFonts w:hint="eastAsia" w:ascii="宋体" w:hAnsi="宋体" w:eastAsia="宋体" w:cs="Times New Roman"/>
          <w:color w:val="auto"/>
          <w:sz w:val="24"/>
          <w:highlight w:val="yellow"/>
        </w:rPr>
        <w:t>《</w:t>
      </w:r>
      <w:r>
        <w:rPr>
          <w:rFonts w:hint="eastAsia" w:ascii="宋体" w:hAnsi="宋体" w:eastAsia="宋体" w:cs="Times New Roman"/>
          <w:color w:val="auto"/>
          <w:sz w:val="24"/>
          <w:highlight w:val="yellow"/>
          <w:lang w:val="en-US" w:eastAsia="zh-CN"/>
        </w:rPr>
        <w:t>城乡排水工程项目规范</w:t>
      </w:r>
      <w:r>
        <w:rPr>
          <w:rFonts w:hint="eastAsia" w:ascii="宋体" w:hAnsi="宋体" w:eastAsia="宋体" w:cs="Times New Roman"/>
          <w:color w:val="auto"/>
          <w:sz w:val="24"/>
          <w:highlight w:val="yellow"/>
        </w:rPr>
        <w:t>》</w:t>
      </w:r>
      <w:r>
        <w:rPr>
          <w:rFonts w:hint="eastAsia" w:ascii="宋体" w:hAnsi="宋体" w:eastAsia="宋体" w:cs="Times New Roman"/>
          <w:color w:val="auto"/>
          <w:sz w:val="24"/>
          <w:highlight w:val="yellow"/>
          <w:lang w:val="en-US" w:eastAsia="zh-CN"/>
        </w:rPr>
        <w:t>（GB55027-2022）</w:t>
      </w:r>
      <w:r>
        <w:rPr>
          <w:rFonts w:hint="eastAsia"/>
          <w:highlight w:val="yellow"/>
        </w:rPr>
        <w:t>；</w:t>
      </w:r>
    </w:p>
    <w:p w14:paraId="3C3B9188">
      <w:pPr>
        <w:ind w:firstLine="480"/>
        <w:rPr>
          <w:highlight w:val="none"/>
        </w:rPr>
      </w:pPr>
      <w:r>
        <w:rPr>
          <w:rFonts w:hint="eastAsia"/>
          <w:highlight w:val="none"/>
        </w:rPr>
        <w:t>（</w:t>
      </w:r>
      <w:r>
        <w:rPr>
          <w:highlight w:val="none"/>
        </w:rPr>
        <w:t>5</w:t>
      </w:r>
      <w:r>
        <w:rPr>
          <w:rFonts w:hint="eastAsia"/>
          <w:highlight w:val="none"/>
        </w:rPr>
        <w:t>）《给水排水工程构筑物结构设计规范》</w:t>
      </w:r>
      <w:r>
        <w:rPr>
          <w:highlight w:val="none"/>
        </w:rPr>
        <w:t>（GB50069-2002）</w:t>
      </w:r>
    </w:p>
    <w:p w14:paraId="544AD06B">
      <w:pPr>
        <w:ind w:firstLine="480"/>
        <w:rPr>
          <w:highlight w:val="none"/>
        </w:rPr>
      </w:pPr>
      <w:r>
        <w:rPr>
          <w:rFonts w:hint="eastAsia"/>
          <w:highlight w:val="none"/>
        </w:rPr>
        <w:t>（</w:t>
      </w:r>
      <w:r>
        <w:rPr>
          <w:highlight w:val="none"/>
        </w:rPr>
        <w:t>6</w:t>
      </w:r>
      <w:r>
        <w:rPr>
          <w:rFonts w:hint="eastAsia"/>
          <w:highlight w:val="none"/>
        </w:rPr>
        <w:t>）《给水排水管道工程施工及验收规范》（</w:t>
      </w:r>
      <w:r>
        <w:rPr>
          <w:highlight w:val="none"/>
        </w:rPr>
        <w:t>GB50268-2008</w:t>
      </w:r>
      <w:r>
        <w:rPr>
          <w:rFonts w:hint="eastAsia"/>
          <w:highlight w:val="none"/>
        </w:rPr>
        <w:t>）；</w:t>
      </w:r>
    </w:p>
    <w:p w14:paraId="552A73AF">
      <w:pPr>
        <w:ind w:firstLine="480"/>
        <w:rPr>
          <w:highlight w:val="none"/>
        </w:rPr>
      </w:pPr>
      <w:r>
        <w:rPr>
          <w:rFonts w:hint="eastAsia"/>
          <w:highlight w:val="none"/>
        </w:rPr>
        <w:t>（</w:t>
      </w:r>
      <w:r>
        <w:rPr>
          <w:highlight w:val="none"/>
        </w:rPr>
        <w:t>7</w:t>
      </w:r>
      <w:r>
        <w:rPr>
          <w:rFonts w:hint="eastAsia"/>
          <w:highlight w:val="none"/>
        </w:rPr>
        <w:t>）《市政排水管道工程及附属设施》国家标准图集（</w:t>
      </w:r>
      <w:r>
        <w:rPr>
          <w:highlight w:val="none"/>
        </w:rPr>
        <w:t>06MS201</w:t>
      </w:r>
      <w:r>
        <w:rPr>
          <w:rFonts w:hint="eastAsia"/>
          <w:highlight w:val="none"/>
        </w:rPr>
        <w:t>）；</w:t>
      </w:r>
    </w:p>
    <w:p w14:paraId="58A4E01B">
      <w:pPr>
        <w:ind w:firstLine="480"/>
        <w:rPr>
          <w:highlight w:val="none"/>
        </w:rPr>
      </w:pPr>
      <w:r>
        <w:rPr>
          <w:rFonts w:hint="eastAsia"/>
          <w:highlight w:val="none"/>
        </w:rPr>
        <w:t>（</w:t>
      </w:r>
      <w:r>
        <w:rPr>
          <w:highlight w:val="none"/>
        </w:rPr>
        <w:t>8</w:t>
      </w:r>
      <w:r>
        <w:rPr>
          <w:rFonts w:hint="eastAsia"/>
          <w:highlight w:val="none"/>
        </w:rPr>
        <w:t>）</w:t>
      </w:r>
      <w:r>
        <w:rPr>
          <w:rFonts w:hint="eastAsia" w:ascii="宋体" w:hAnsi="宋体" w:eastAsia="宋体"/>
          <w:color w:val="auto"/>
          <w:sz w:val="24"/>
          <w:highlight w:val="none"/>
          <w:lang w:eastAsia="zh-CN"/>
        </w:rPr>
        <w:t>《井盖设施技术规范》（DB4401T 215—2023）</w:t>
      </w:r>
      <w:r>
        <w:rPr>
          <w:rFonts w:hint="eastAsia"/>
          <w:highlight w:val="none"/>
        </w:rPr>
        <w:t>；</w:t>
      </w:r>
    </w:p>
    <w:p w14:paraId="48365C5A">
      <w:pPr>
        <w:ind w:firstLine="480"/>
        <w:rPr>
          <w:highlight w:val="none"/>
        </w:rPr>
      </w:pPr>
      <w:r>
        <w:rPr>
          <w:rFonts w:hint="eastAsia"/>
          <w:highlight w:val="none"/>
        </w:rPr>
        <w:t>（</w:t>
      </w:r>
      <w:r>
        <w:rPr>
          <w:highlight w:val="none"/>
        </w:rPr>
        <w:t>9</w:t>
      </w:r>
      <w:r>
        <w:rPr>
          <w:rFonts w:hint="eastAsia"/>
          <w:highlight w:val="none"/>
        </w:rPr>
        <w:t>）《砌体结构设计规范》（</w:t>
      </w:r>
      <w:r>
        <w:rPr>
          <w:highlight w:val="none"/>
        </w:rPr>
        <w:t>GB50003-2011</w:t>
      </w:r>
      <w:r>
        <w:rPr>
          <w:rFonts w:hint="eastAsia"/>
          <w:highlight w:val="none"/>
        </w:rPr>
        <w:t>）；</w:t>
      </w:r>
    </w:p>
    <w:p w14:paraId="6881BBCA">
      <w:pPr>
        <w:ind w:firstLine="480"/>
        <w:rPr>
          <w:highlight w:val="none"/>
        </w:rPr>
      </w:pPr>
      <w:r>
        <w:rPr>
          <w:rFonts w:hint="eastAsia"/>
          <w:highlight w:val="none"/>
        </w:rPr>
        <w:t>（</w:t>
      </w:r>
      <w:r>
        <w:rPr>
          <w:highlight w:val="none"/>
        </w:rPr>
        <w:t>10</w:t>
      </w:r>
      <w:r>
        <w:rPr>
          <w:rFonts w:hint="eastAsia"/>
          <w:highlight w:val="none"/>
        </w:rPr>
        <w:t>）</w:t>
      </w:r>
      <w:r>
        <w:rPr>
          <w:rFonts w:hint="eastAsia" w:ascii="宋体" w:hAnsi="宋体" w:eastAsia="宋体" w:cs="Times New Roman"/>
          <w:color w:val="auto"/>
          <w:sz w:val="24"/>
          <w:highlight w:val="none"/>
        </w:rPr>
        <w:t>《室外排水设计标准》（GB50014－20</w:t>
      </w:r>
      <w:r>
        <w:rPr>
          <w:rFonts w:hint="eastAsia" w:ascii="宋体" w:hAnsi="宋体" w:eastAsia="宋体" w:cs="Times New Roman"/>
          <w:color w:val="auto"/>
          <w:sz w:val="24"/>
          <w:highlight w:val="none"/>
          <w:lang w:val="en-US" w:eastAsia="zh-CN"/>
        </w:rPr>
        <w:t>21</w:t>
      </w:r>
      <w:r>
        <w:rPr>
          <w:rFonts w:hint="eastAsia" w:ascii="宋体" w:hAnsi="宋体" w:eastAsia="宋体" w:cs="Times New Roman"/>
          <w:color w:val="auto"/>
          <w:sz w:val="24"/>
          <w:highlight w:val="none"/>
        </w:rPr>
        <w:t>）</w:t>
      </w:r>
      <w:r>
        <w:rPr>
          <w:rFonts w:hint="eastAsia"/>
          <w:highlight w:val="none"/>
        </w:rPr>
        <w:t>；</w:t>
      </w:r>
    </w:p>
    <w:p w14:paraId="540E1F14">
      <w:pPr>
        <w:ind w:firstLine="480"/>
        <w:rPr>
          <w:highlight w:val="none"/>
        </w:rPr>
      </w:pPr>
      <w:r>
        <w:rPr>
          <w:rFonts w:hint="eastAsia"/>
          <w:highlight w:val="none"/>
        </w:rPr>
        <w:t>（</w:t>
      </w:r>
      <w:r>
        <w:rPr>
          <w:highlight w:val="none"/>
        </w:rPr>
        <w:t>11</w:t>
      </w:r>
      <w:r>
        <w:rPr>
          <w:rFonts w:hint="eastAsia"/>
          <w:highlight w:val="none"/>
        </w:rPr>
        <w:t>）</w:t>
      </w:r>
      <w:r>
        <w:rPr>
          <w:rFonts w:hint="eastAsia" w:ascii="宋体" w:hAnsi="宋体" w:eastAsia="宋体" w:cs="Times New Roman"/>
          <w:color w:val="auto"/>
          <w:sz w:val="24"/>
          <w:highlight w:val="none"/>
        </w:rPr>
        <w:t>《混凝土和钢筋混凝土排水管》（GB/T11836-20</w:t>
      </w:r>
      <w:r>
        <w:rPr>
          <w:rFonts w:hint="eastAsia" w:ascii="宋体" w:hAnsi="宋体" w:eastAsia="宋体" w:cs="Times New Roman"/>
          <w:color w:val="auto"/>
          <w:sz w:val="24"/>
          <w:highlight w:val="none"/>
          <w:lang w:val="en-US" w:eastAsia="zh-CN"/>
        </w:rPr>
        <w:t>23</w:t>
      </w:r>
      <w:r>
        <w:rPr>
          <w:rFonts w:hint="eastAsia" w:ascii="宋体" w:hAnsi="宋体" w:eastAsia="宋体" w:cs="Times New Roman"/>
          <w:color w:val="auto"/>
          <w:sz w:val="24"/>
          <w:highlight w:val="none"/>
        </w:rPr>
        <w:t>）</w:t>
      </w:r>
      <w:r>
        <w:rPr>
          <w:rFonts w:hint="eastAsia"/>
          <w:highlight w:val="none"/>
        </w:rPr>
        <w:t>；</w:t>
      </w:r>
    </w:p>
    <w:p w14:paraId="3CCB3548">
      <w:pPr>
        <w:ind w:firstLine="480"/>
        <w:rPr>
          <w:highlight w:val="none"/>
        </w:rPr>
      </w:pPr>
      <w:r>
        <w:rPr>
          <w:rFonts w:hint="eastAsia"/>
          <w:highlight w:val="none"/>
        </w:rPr>
        <w:t>（</w:t>
      </w:r>
      <w:r>
        <w:rPr>
          <w:highlight w:val="none"/>
        </w:rPr>
        <w:t>12</w:t>
      </w:r>
      <w:r>
        <w:rPr>
          <w:rFonts w:hint="eastAsia"/>
          <w:highlight w:val="none"/>
        </w:rPr>
        <w:t>）《给水排水工程管道结构设计规范》（</w:t>
      </w:r>
      <w:r>
        <w:rPr>
          <w:highlight w:val="none"/>
        </w:rPr>
        <w:t>GB50332-2002</w:t>
      </w:r>
      <w:r>
        <w:rPr>
          <w:rFonts w:hint="eastAsia"/>
          <w:highlight w:val="none"/>
        </w:rPr>
        <w:t>）；</w:t>
      </w:r>
    </w:p>
    <w:p w14:paraId="5AC7DE07">
      <w:pPr>
        <w:ind w:firstLine="480"/>
        <w:rPr>
          <w:highlight w:val="none"/>
        </w:rPr>
      </w:pPr>
      <w:r>
        <w:rPr>
          <w:rFonts w:hint="eastAsia"/>
          <w:highlight w:val="none"/>
        </w:rPr>
        <w:t>（13）《埋地塑料排水管道工程技术规范》（CJJ143-2010）；</w:t>
      </w:r>
    </w:p>
    <w:p w14:paraId="409D8856">
      <w:pPr>
        <w:ind w:firstLine="480"/>
        <w:rPr>
          <w:highlight w:val="none"/>
        </w:rPr>
      </w:pPr>
      <w:r>
        <w:rPr>
          <w:rFonts w:hint="eastAsia"/>
          <w:highlight w:val="none"/>
        </w:rPr>
        <w:t>（14）《公路工程技术标准》（JTG B01－2014）；</w:t>
      </w:r>
    </w:p>
    <w:p w14:paraId="76842441">
      <w:pPr>
        <w:ind w:firstLine="480"/>
        <w:rPr>
          <w:highlight w:val="none"/>
        </w:rPr>
      </w:pPr>
      <w:r>
        <w:rPr>
          <w:rFonts w:hint="eastAsia"/>
          <w:highlight w:val="none"/>
        </w:rPr>
        <w:t>（15）《公路桥涵设计通用规范》（JTG D60－2015）；</w:t>
      </w:r>
    </w:p>
    <w:p w14:paraId="466FC9B9">
      <w:pPr>
        <w:ind w:firstLine="480"/>
        <w:rPr>
          <w:highlight w:val="none"/>
        </w:rPr>
      </w:pPr>
      <w:r>
        <w:rPr>
          <w:rFonts w:hint="eastAsia"/>
          <w:highlight w:val="none"/>
        </w:rPr>
        <w:t>（16）《公路钢筋混凝土及预应力混凝土桥涵设计规范》（JTG 3362-2018）；</w:t>
      </w:r>
    </w:p>
    <w:p w14:paraId="499A9EA4">
      <w:pPr>
        <w:ind w:firstLine="480"/>
        <w:rPr>
          <w:highlight w:val="none"/>
        </w:rPr>
      </w:pPr>
      <w:r>
        <w:rPr>
          <w:rFonts w:hint="eastAsia"/>
          <w:highlight w:val="none"/>
        </w:rPr>
        <w:t>（17）《公路桥涵地基与基础设计规范》（JTG 3363-2019）；</w:t>
      </w:r>
    </w:p>
    <w:p w14:paraId="4BC4CAA6">
      <w:pPr>
        <w:ind w:firstLine="480"/>
        <w:rPr>
          <w:highlight w:val="none"/>
        </w:rPr>
      </w:pPr>
      <w:r>
        <w:rPr>
          <w:rFonts w:hint="eastAsia"/>
          <w:highlight w:val="none"/>
        </w:rPr>
        <w:t>（18）《公路涵洞设计规范》（JTG/T 3365-02-2020）；</w:t>
      </w:r>
    </w:p>
    <w:p w14:paraId="579F30AC">
      <w:pPr>
        <w:ind w:firstLine="480"/>
        <w:rPr>
          <w:highlight w:val="none"/>
        </w:rPr>
      </w:pPr>
      <w:r>
        <w:rPr>
          <w:rFonts w:hint="eastAsia"/>
          <w:highlight w:val="none"/>
        </w:rPr>
        <w:t>（19）《公路桥涵施工技术规范》（JTG/T 3650-2020）；</w:t>
      </w:r>
    </w:p>
    <w:p w14:paraId="111B25AE">
      <w:pPr>
        <w:ind w:firstLine="480"/>
        <w:rPr>
          <w:highlight w:val="none"/>
        </w:rPr>
      </w:pPr>
      <w:r>
        <w:rPr>
          <w:rFonts w:hint="eastAsia"/>
          <w:highlight w:val="none"/>
        </w:rPr>
        <w:t>（20）《市政公用工程设计文件编制深度规定》（2013年版）；</w:t>
      </w:r>
    </w:p>
    <w:p w14:paraId="275694AE">
      <w:pPr>
        <w:ind w:firstLine="480"/>
        <w:rPr>
          <w:highlight w:val="none"/>
        </w:rPr>
      </w:pPr>
      <w:r>
        <w:rPr>
          <w:rFonts w:hint="eastAsia"/>
          <w:highlight w:val="none"/>
        </w:rPr>
        <w:t>（21）《工程结构通用规范》（GB55001-2021）；</w:t>
      </w:r>
    </w:p>
    <w:p w14:paraId="77D04636">
      <w:pPr>
        <w:ind w:firstLine="480"/>
        <w:rPr>
          <w:highlight w:val="none"/>
        </w:rPr>
      </w:pPr>
      <w:r>
        <w:rPr>
          <w:rFonts w:hint="eastAsia"/>
          <w:highlight w:val="none"/>
        </w:rPr>
        <w:t>（2</w:t>
      </w:r>
      <w:r>
        <w:rPr>
          <w:highlight w:val="none"/>
        </w:rPr>
        <w:t>2</w:t>
      </w:r>
      <w:r>
        <w:rPr>
          <w:rFonts w:hint="eastAsia"/>
          <w:highlight w:val="none"/>
        </w:rPr>
        <w:t>）《建筑与市政工程抗震通用规范》（GB55002-2021）；</w:t>
      </w:r>
    </w:p>
    <w:p w14:paraId="25156836">
      <w:pPr>
        <w:ind w:firstLine="480"/>
        <w:rPr>
          <w:highlight w:val="none"/>
        </w:rPr>
      </w:pPr>
      <w:r>
        <w:rPr>
          <w:rFonts w:hint="eastAsia"/>
          <w:highlight w:val="none"/>
        </w:rPr>
        <w:t>（2</w:t>
      </w:r>
      <w:r>
        <w:rPr>
          <w:highlight w:val="none"/>
        </w:rPr>
        <w:t>3</w:t>
      </w:r>
      <w:r>
        <w:rPr>
          <w:rFonts w:hint="eastAsia"/>
          <w:highlight w:val="none"/>
        </w:rPr>
        <w:t>）《建筑与市政地基基础通用规范》（GB55003-2021）；</w:t>
      </w:r>
    </w:p>
    <w:p w14:paraId="0DB5561B">
      <w:pPr>
        <w:ind w:firstLine="480"/>
        <w:rPr>
          <w:highlight w:val="none"/>
        </w:rPr>
      </w:pPr>
      <w:r>
        <w:rPr>
          <w:rFonts w:hint="eastAsia"/>
          <w:highlight w:val="none"/>
        </w:rPr>
        <w:t>（2</w:t>
      </w:r>
      <w:r>
        <w:rPr>
          <w:highlight w:val="none"/>
        </w:rPr>
        <w:t>4</w:t>
      </w:r>
      <w:r>
        <w:rPr>
          <w:rFonts w:hint="eastAsia"/>
          <w:highlight w:val="none"/>
        </w:rPr>
        <w:t>）《钢结构通用规范》（GB55006-2021）；</w:t>
      </w:r>
    </w:p>
    <w:p w14:paraId="3C3FF5DA">
      <w:pPr>
        <w:ind w:firstLine="480"/>
        <w:rPr>
          <w:highlight w:val="none"/>
        </w:rPr>
      </w:pPr>
      <w:r>
        <w:rPr>
          <w:rFonts w:hint="eastAsia"/>
          <w:highlight w:val="none"/>
        </w:rPr>
        <w:t>（2</w:t>
      </w:r>
      <w:r>
        <w:rPr>
          <w:highlight w:val="none"/>
        </w:rPr>
        <w:t>5</w:t>
      </w:r>
      <w:r>
        <w:rPr>
          <w:rFonts w:hint="eastAsia"/>
          <w:highlight w:val="none"/>
        </w:rPr>
        <w:t>）《砌体结构通用规范》（GB55007-2021）；</w:t>
      </w:r>
    </w:p>
    <w:p w14:paraId="12E96A3B">
      <w:pPr>
        <w:ind w:firstLine="480"/>
        <w:rPr>
          <w:highlight w:val="none"/>
        </w:rPr>
      </w:pPr>
      <w:r>
        <w:rPr>
          <w:rFonts w:hint="eastAsia"/>
          <w:highlight w:val="none"/>
        </w:rPr>
        <w:t>（2</w:t>
      </w:r>
      <w:r>
        <w:rPr>
          <w:highlight w:val="none"/>
        </w:rPr>
        <w:t>6</w:t>
      </w:r>
      <w:r>
        <w:rPr>
          <w:rFonts w:hint="eastAsia"/>
          <w:highlight w:val="none"/>
        </w:rPr>
        <w:t>）《混凝土结构通用规范》（GB55008-2021）；</w:t>
      </w:r>
    </w:p>
    <w:p w14:paraId="20616BA5">
      <w:pPr>
        <w:ind w:firstLine="480"/>
        <w:rPr>
          <w:rFonts w:hint="eastAsia"/>
          <w:highlight w:val="none"/>
        </w:rPr>
      </w:pPr>
      <w:r>
        <w:rPr>
          <w:rFonts w:hint="eastAsia"/>
          <w:highlight w:val="none"/>
        </w:rPr>
        <w:t>（2</w:t>
      </w:r>
      <w:r>
        <w:rPr>
          <w:highlight w:val="none"/>
        </w:rPr>
        <w:t>7</w:t>
      </w:r>
      <w:r>
        <w:rPr>
          <w:rFonts w:hint="eastAsia"/>
          <w:highlight w:val="none"/>
        </w:rPr>
        <w:t>）《排水工程用球墨铸铁管、管件和附件》（GB/T26081-202</w:t>
      </w:r>
      <w:r>
        <w:rPr>
          <w:highlight w:val="none"/>
        </w:rPr>
        <w:t>2</w:t>
      </w:r>
      <w:r>
        <w:rPr>
          <w:rFonts w:hint="eastAsia"/>
          <w:highlight w:val="none"/>
        </w:rPr>
        <w:t>）</w:t>
      </w:r>
    </w:p>
    <w:p w14:paraId="7E07BAB1">
      <w:pPr>
        <w:ind w:firstLine="480"/>
        <w:rPr>
          <w:rFonts w:hint="eastAsia"/>
          <w:highlight w:val="none"/>
        </w:rPr>
      </w:pPr>
      <w:r>
        <w:rPr>
          <w:rFonts w:hint="eastAsia"/>
          <w:highlight w:val="none"/>
        </w:rPr>
        <w:t>（2</w:t>
      </w:r>
      <w:r>
        <w:rPr>
          <w:rFonts w:hint="eastAsia"/>
          <w:highlight w:val="none"/>
          <w:lang w:val="en-US" w:eastAsia="zh-CN"/>
        </w:rPr>
        <w:t>8</w:t>
      </w:r>
      <w:r>
        <w:rPr>
          <w:rFonts w:hint="eastAsia"/>
          <w:highlight w:val="none"/>
        </w:rPr>
        <w:t>）</w:t>
      </w:r>
      <w:r>
        <w:rPr>
          <w:rFonts w:hint="eastAsia" w:ascii="宋体" w:hAnsi="宋体"/>
          <w:sz w:val="24"/>
          <w:highlight w:val="yellow"/>
          <w:lang w:val="en-US" w:eastAsia="zh-CN"/>
        </w:rPr>
        <w:t>《室外给水排水和燃气热力工程抗震设计规范》（GB50032-2003）</w:t>
      </w:r>
    </w:p>
    <w:p w14:paraId="013586C0">
      <w:pPr>
        <w:ind w:firstLine="480"/>
        <w:rPr>
          <w:rFonts w:hint="eastAsia"/>
          <w:highlight w:val="none"/>
        </w:rPr>
      </w:pPr>
      <w:r>
        <w:rPr>
          <w:rFonts w:hint="eastAsia"/>
          <w:highlight w:val="none"/>
        </w:rPr>
        <w:t>（2</w:t>
      </w:r>
      <w:r>
        <w:rPr>
          <w:rFonts w:hint="eastAsia"/>
          <w:highlight w:val="none"/>
          <w:lang w:val="en-US" w:eastAsia="zh-CN"/>
        </w:rPr>
        <w:t>9</w:t>
      </w:r>
      <w:r>
        <w:rPr>
          <w:rFonts w:hint="eastAsia"/>
          <w:highlight w:val="none"/>
        </w:rPr>
        <w:t>）其它国家、行业、地方现行的相关技术标准及规范。</w:t>
      </w:r>
    </w:p>
    <w:p w14:paraId="5B7EF7F3">
      <w:pPr>
        <w:pStyle w:val="5"/>
        <w:ind w:firstLine="482"/>
        <w:rPr>
          <w:rFonts w:hint="eastAsia" w:ascii="Times New Roman" w:hAnsi="Times New Roman"/>
          <w:color w:val="auto"/>
          <w:highlight w:val="yellow"/>
        </w:rPr>
      </w:pPr>
      <w:bookmarkStart w:id="9" w:name="_Toc85646475"/>
      <w:bookmarkStart w:id="10" w:name="_Toc27477"/>
      <w:r>
        <w:rPr>
          <w:rFonts w:hint="eastAsia" w:ascii="Times New Roman" w:hAnsi="Times New Roman"/>
          <w:color w:val="auto"/>
          <w:highlight w:val="yellow"/>
        </w:rPr>
        <w:t>初设评审意见回复及执行情况</w:t>
      </w:r>
      <w:bookmarkEnd w:id="9"/>
      <w:bookmarkEnd w:id="10"/>
    </w:p>
    <w:p w14:paraId="4290C3EC">
      <w:pPr>
        <w:ind w:firstLine="480"/>
        <w:rPr>
          <w:rFonts w:hint="eastAsia" w:cs="宋体"/>
          <w:highlight w:val="yellow"/>
          <w:lang w:val="en-US" w:eastAsia="zh-CN"/>
        </w:rPr>
      </w:pPr>
      <w:r>
        <w:rPr>
          <w:rFonts w:hint="eastAsia" w:cs="宋体"/>
          <w:highlight w:val="yellow"/>
          <w:lang w:val="en-US" w:eastAsia="zh-CN"/>
        </w:rPr>
        <w:t>1、进一步完善平纵横设计</w:t>
      </w:r>
    </w:p>
    <w:p w14:paraId="0131AD8C">
      <w:pPr>
        <w:ind w:firstLine="480"/>
        <w:rPr>
          <w:rFonts w:hint="default" w:cs="宋体"/>
          <w:highlight w:val="yellow"/>
          <w:lang w:val="en-US" w:eastAsia="zh-CN"/>
        </w:rPr>
      </w:pPr>
      <w:r>
        <w:rPr>
          <w:rFonts w:hint="eastAsia" w:cs="宋体"/>
          <w:highlight w:val="yellow"/>
          <w:lang w:val="en-US" w:eastAsia="zh-CN"/>
        </w:rPr>
        <w:t>回复：按意见修改，补充远期规划道路线及远期支路四横断面。</w:t>
      </w:r>
    </w:p>
    <w:p w14:paraId="27650BFB">
      <w:pPr>
        <w:rPr>
          <w:rFonts w:hint="eastAsia" w:cs="宋体"/>
          <w:highlight w:val="yellow"/>
          <w:lang w:val="en-US" w:eastAsia="zh-CN"/>
        </w:rPr>
      </w:pPr>
      <w:r>
        <w:rPr>
          <w:rFonts w:hint="eastAsia" w:cs="宋体"/>
          <w:highlight w:val="yellow"/>
          <w:lang w:val="en-US" w:eastAsia="zh-CN"/>
        </w:rPr>
        <w:t>2、学校区域建议增加限速标志、注意儿童标志。</w:t>
      </w:r>
    </w:p>
    <w:p w14:paraId="6464B692">
      <w:pPr>
        <w:ind w:firstLine="480"/>
        <w:rPr>
          <w:rFonts w:hint="default" w:cs="宋体"/>
          <w:highlight w:val="yellow"/>
          <w:lang w:val="en-US" w:eastAsia="zh-CN"/>
        </w:rPr>
      </w:pPr>
      <w:r>
        <w:rPr>
          <w:rFonts w:hint="eastAsia" w:cs="宋体"/>
          <w:highlight w:val="yellow"/>
          <w:lang w:val="en-US" w:eastAsia="zh-CN"/>
        </w:rPr>
        <w:t>回复：按意见补充。</w:t>
      </w:r>
    </w:p>
    <w:p w14:paraId="36B5B9FF">
      <w:pPr>
        <w:ind w:firstLine="480"/>
        <w:rPr>
          <w:rFonts w:hint="eastAsia" w:cs="宋体"/>
          <w:highlight w:val="yellow"/>
          <w:lang w:val="en-US" w:eastAsia="zh-CN"/>
        </w:rPr>
      </w:pPr>
      <w:r>
        <w:rPr>
          <w:rFonts w:hint="eastAsia" w:cs="宋体"/>
          <w:highlight w:val="yellow"/>
          <w:lang w:val="en-US" w:eastAsia="zh-CN"/>
        </w:rPr>
        <w:t>3、市政消火栓应采用防撞型。</w:t>
      </w:r>
    </w:p>
    <w:p w14:paraId="63D0B37A">
      <w:pPr>
        <w:ind w:firstLine="480"/>
        <w:rPr>
          <w:rFonts w:hint="eastAsia"/>
          <w:highlight w:val="yellow"/>
        </w:rPr>
      </w:pPr>
      <w:r>
        <w:rPr>
          <w:rFonts w:hint="eastAsia" w:cs="宋体"/>
          <w:highlight w:val="yellow"/>
          <w:lang w:val="en-US" w:eastAsia="zh-CN"/>
        </w:rPr>
        <w:t>回复：按意见补充。</w:t>
      </w:r>
    </w:p>
    <w:p w14:paraId="507287E1">
      <w:pPr>
        <w:pStyle w:val="4"/>
        <w:spacing w:before="163" w:after="163"/>
        <w:ind w:firstLine="560"/>
        <w:rPr>
          <w:color w:val="auto"/>
          <w:highlight w:val="none"/>
        </w:rPr>
      </w:pPr>
      <w:bookmarkStart w:id="11" w:name="_Toc23052"/>
      <w:r>
        <w:rPr>
          <w:rFonts w:hint="eastAsia"/>
          <w:color w:val="auto"/>
          <w:highlight w:val="none"/>
        </w:rPr>
        <w:t>抗震设计及结构安全等级</w:t>
      </w:r>
      <w:bookmarkEnd w:id="11"/>
    </w:p>
    <w:p w14:paraId="54D3AF02">
      <w:pPr>
        <w:ind w:firstLine="480"/>
        <w:rPr>
          <w:rFonts w:hint="default" w:eastAsia="宋体"/>
          <w:highlight w:val="none"/>
          <w:lang w:val="en-US" w:eastAsia="zh-CN"/>
        </w:rPr>
      </w:pPr>
      <w:r>
        <w:rPr>
          <w:rFonts w:hint="eastAsia"/>
          <w:highlight w:val="none"/>
        </w:rPr>
        <w:t>1、建筑场地抗震设防烈度：6度；设计基本地震加速度值：0.05g；设计地震分组：第一组。抗震设防类别：除有特别说明外，均</w:t>
      </w:r>
      <w:r>
        <w:rPr>
          <w:rFonts w:hint="eastAsia"/>
          <w:highlight w:val="yellow"/>
        </w:rPr>
        <w:t>按</w:t>
      </w:r>
      <w:r>
        <w:rPr>
          <w:rFonts w:hint="eastAsia"/>
          <w:highlight w:val="yellow"/>
          <w:lang w:val="en-US" w:eastAsia="zh-CN"/>
        </w:rPr>
        <w:t>丙</w:t>
      </w:r>
      <w:r>
        <w:rPr>
          <w:rFonts w:hint="eastAsia"/>
          <w:highlight w:val="yellow"/>
        </w:rPr>
        <w:t>类考虑；</w:t>
      </w:r>
      <w:r>
        <w:rPr>
          <w:rFonts w:hint="eastAsia"/>
          <w:highlight w:val="yellow"/>
          <w:lang w:val="en-US" w:eastAsia="zh-CN"/>
        </w:rPr>
        <w:t>抗震等级为四级。</w:t>
      </w:r>
    </w:p>
    <w:p w14:paraId="57EDCB9F">
      <w:pPr>
        <w:ind w:firstLine="480"/>
        <w:rPr>
          <w:highlight w:val="none"/>
        </w:rPr>
      </w:pPr>
      <w:r>
        <w:rPr>
          <w:rFonts w:hint="eastAsia"/>
          <w:highlight w:val="none"/>
        </w:rPr>
        <w:t>2、支护结构安全等级：</w:t>
      </w:r>
      <w:r>
        <w:rPr>
          <w:rFonts w:hint="eastAsia"/>
          <w:highlight w:val="none"/>
          <w:lang w:val="en-US" w:eastAsia="zh-CN"/>
        </w:rPr>
        <w:t>二</w:t>
      </w:r>
      <w:r>
        <w:rPr>
          <w:rFonts w:hint="eastAsia"/>
          <w:highlight w:val="none"/>
        </w:rPr>
        <w:t>级。</w:t>
      </w:r>
    </w:p>
    <w:p w14:paraId="58A9822E">
      <w:pPr>
        <w:ind w:firstLine="480"/>
        <w:rPr>
          <w:rFonts w:hint="eastAsia"/>
          <w:highlight w:val="none"/>
        </w:rPr>
      </w:pPr>
      <w:r>
        <w:rPr>
          <w:rFonts w:hint="eastAsia"/>
          <w:highlight w:val="none"/>
        </w:rPr>
        <w:t>3、环境类别：1类。</w:t>
      </w:r>
    </w:p>
    <w:p w14:paraId="21616EF3">
      <w:pPr>
        <w:ind w:firstLine="480"/>
        <w:rPr>
          <w:rFonts w:hint="eastAsia"/>
          <w:highlight w:val="none"/>
        </w:rPr>
      </w:pPr>
      <w:r>
        <w:rPr>
          <w:rFonts w:hint="eastAsia" w:ascii="宋体" w:hAnsi="宋体" w:eastAsia="宋体" w:cs="宋体"/>
          <w:sz w:val="24"/>
          <w:szCs w:val="24"/>
          <w:lang w:val="en-US" w:eastAsia="zh-CN"/>
        </w:rPr>
        <w:t>4、</w:t>
      </w:r>
      <w:r>
        <w:rPr>
          <w:rFonts w:ascii="宋体" w:hAnsi="宋体" w:eastAsia="宋体" w:cs="宋体"/>
          <w:sz w:val="24"/>
          <w:szCs w:val="24"/>
        </w:rPr>
        <w:t>排水工程主要构筑物的主体结构和地下干管，其结构设计工作年限50年，安全等级二级。</w:t>
      </w:r>
    </w:p>
    <w:p w14:paraId="79F3FC5E">
      <w:pPr>
        <w:pStyle w:val="4"/>
        <w:spacing w:before="163" w:after="163"/>
        <w:ind w:firstLine="560"/>
        <w:rPr>
          <w:color w:val="auto"/>
          <w:highlight w:val="none"/>
        </w:rPr>
      </w:pPr>
      <w:bookmarkStart w:id="12" w:name="_Toc20482"/>
      <w:r>
        <w:rPr>
          <w:rFonts w:hint="eastAsia"/>
          <w:color w:val="auto"/>
          <w:highlight w:val="none"/>
        </w:rPr>
        <w:t>工程地质条件</w:t>
      </w:r>
      <w:bookmarkEnd w:id="12"/>
    </w:p>
    <w:p w14:paraId="2025A44D">
      <w:pPr>
        <w:pStyle w:val="5"/>
        <w:ind w:firstLine="482"/>
        <w:rPr>
          <w:color w:val="auto"/>
          <w:highlight w:val="none"/>
        </w:rPr>
      </w:pPr>
      <w:r>
        <w:rPr>
          <w:rFonts w:hint="eastAsia"/>
          <w:color w:val="auto"/>
          <w:highlight w:val="none"/>
        </w:rPr>
        <w:t>场地岩土工程条件</w:t>
      </w:r>
    </w:p>
    <w:p w14:paraId="5F1CE514">
      <w:pPr>
        <w:ind w:firstLine="480"/>
        <w:rPr>
          <w:highlight w:val="none"/>
        </w:rPr>
      </w:pPr>
      <w:r>
        <w:rPr>
          <w:rFonts w:hint="eastAsia"/>
          <w:highlight w:val="none"/>
        </w:rPr>
        <w:t>根据钻孔揭露，场地岩土层按成因类型从上至下可划分为: (Q4ml) 填土层、坡积层(Q4dl) 、残积层(Q4el)、石炭系石灰岩、砂岩、页岩(C)。现将各岩土层的分布特点及物理力学性质分述如下：</w:t>
      </w:r>
    </w:p>
    <w:p w14:paraId="728D1890">
      <w:pPr>
        <w:ind w:firstLine="480"/>
        <w:rPr>
          <w:highlight w:val="none"/>
        </w:rPr>
      </w:pPr>
      <w:r>
        <w:rPr>
          <w:rFonts w:hint="eastAsia"/>
          <w:highlight w:val="none"/>
        </w:rPr>
        <w:t>（1）素填土层(Q4ml)，图件和附表代号为&lt;1&gt;：</w:t>
      </w:r>
    </w:p>
    <w:p w14:paraId="29F44686">
      <w:pPr>
        <w:ind w:firstLine="480"/>
        <w:rPr>
          <w:highlight w:val="none"/>
        </w:rPr>
      </w:pPr>
      <w:r>
        <w:rPr>
          <w:rFonts w:hint="eastAsia"/>
          <w:highlight w:val="none"/>
        </w:rPr>
        <w:t>褐黄色、浅灰色，松散，稍湿，以粉质黏土为主，含较多角砾、碎石等，碎石大多为砂岩原岩碎块，堆龄约5~10年。</w:t>
      </w:r>
    </w:p>
    <w:p w14:paraId="1B42400C">
      <w:pPr>
        <w:ind w:firstLine="480"/>
        <w:rPr>
          <w:highlight w:val="none"/>
        </w:rPr>
      </w:pPr>
      <w:r>
        <w:rPr>
          <w:rFonts w:hint="eastAsia"/>
          <w:highlight w:val="none"/>
        </w:rPr>
        <w:t>（2）第四系坡积层(Q4)，图件和附表代号为&lt;②&gt;:</w:t>
      </w:r>
    </w:p>
    <w:p w14:paraId="579FDD22">
      <w:pPr>
        <w:ind w:firstLine="480"/>
        <w:rPr>
          <w:highlight w:val="none"/>
        </w:rPr>
      </w:pPr>
      <w:r>
        <w:rPr>
          <w:rFonts w:hint="eastAsia"/>
          <w:highlight w:val="none"/>
        </w:rPr>
        <w:t>粉质粘土:褐黄色，可塑、局部硬塑，主要由粉、黏粒组成，土质不均，局部夹少量角砾和砂岩岩块，碎石含量为40%，块径2~25 mm。</w:t>
      </w:r>
    </w:p>
    <w:p w14:paraId="2AF333D9">
      <w:pPr>
        <w:ind w:firstLine="480"/>
        <w:rPr>
          <w:highlight w:val="none"/>
        </w:rPr>
      </w:pPr>
      <w:r>
        <w:rPr>
          <w:rFonts w:hint="eastAsia"/>
          <w:highlight w:val="none"/>
        </w:rPr>
        <w:t>（3）第四系残积层(Q4“)，图件和附表代号为&lt;3&gt;：</w:t>
      </w:r>
    </w:p>
    <w:p w14:paraId="4F18E525">
      <w:pPr>
        <w:ind w:firstLine="480"/>
        <w:rPr>
          <w:highlight w:val="none"/>
        </w:rPr>
      </w:pPr>
      <w:r>
        <w:rPr>
          <w:rFonts w:hint="eastAsia"/>
          <w:highlight w:val="none"/>
        </w:rPr>
        <w:t>粉质粘土:灰黄色，硬塑，局部可塑，土质不均匀，为砂岩风化残积士，遇水易软化，崩解。</w:t>
      </w:r>
    </w:p>
    <w:p w14:paraId="091BAA11">
      <w:pPr>
        <w:ind w:firstLine="480"/>
        <w:rPr>
          <w:highlight w:val="none"/>
        </w:rPr>
      </w:pPr>
      <w:r>
        <w:rPr>
          <w:rFonts w:hint="eastAsia"/>
          <w:highlight w:val="none"/>
        </w:rPr>
        <w:t>（4）石炭系砂岩(C)，图件和附表代号为&lt;4&gt;：</w:t>
      </w:r>
    </w:p>
    <w:p w14:paraId="0557F7B1">
      <w:pPr>
        <w:ind w:firstLine="480"/>
        <w:rPr>
          <w:highlight w:val="none"/>
        </w:rPr>
      </w:pPr>
      <w:r>
        <w:rPr>
          <w:rFonts w:hint="eastAsia"/>
          <w:highlight w:val="none"/>
        </w:rPr>
        <w:t>④1全风化砂岩:红褐色、黄褐色，主要矿物为石英、长石，原岩结构尚可辨认，岩芯以坚硬土柱状为主，局部可见少量碎屑状强风化原岩碎块，碎块裂隙极发育，强度很低，易折断。</w:t>
      </w:r>
    </w:p>
    <w:p w14:paraId="1AC5E68B">
      <w:pPr>
        <w:ind w:firstLine="480"/>
        <w:rPr>
          <w:highlight w:val="none"/>
        </w:rPr>
      </w:pPr>
      <w:r>
        <w:rPr>
          <w:rFonts w:hint="eastAsia"/>
          <w:highlight w:val="none"/>
        </w:rPr>
        <w:t>④2强风化砂岩:褐色、黄褐色，厚层状构造，中~细粒砂质结构，颗粒矿物成分主要是石英、长石等:岩体节理裂隙发育，裂隙面可见.上段部分岩芯以砂土状为主，下段岩芯以碎屑状、碎块状为主，局部呈短柱状，用手可折断，节长约5~15 cm。</w:t>
      </w:r>
    </w:p>
    <w:p w14:paraId="352A208A">
      <w:pPr>
        <w:ind w:firstLine="480"/>
        <w:rPr>
          <w:highlight w:val="none"/>
        </w:rPr>
      </w:pPr>
      <w:r>
        <w:rPr>
          <w:rFonts w:hint="eastAsia"/>
          <w:highlight w:val="none"/>
        </w:rPr>
        <w:t>④3中风化砂岩:红褐色、黄褐色，厚层状构造，中~细粒砂质结构，颗粒矿物成分主要是石英、长石等:岩体节理裂隙发育，岩质较新鲜，节理裂隙较发育，岩芯多呈短柱状及长柱状，局部呈块状，节长10~30 cm。</w:t>
      </w:r>
    </w:p>
    <w:p w14:paraId="2C2F10E5">
      <w:pPr>
        <w:ind w:firstLine="480"/>
        <w:rPr>
          <w:highlight w:val="none"/>
        </w:rPr>
      </w:pPr>
      <w:r>
        <w:rPr>
          <w:rFonts w:hint="eastAsia"/>
          <w:highlight w:val="none"/>
        </w:rPr>
        <w:t>（5）石炭系炭质页岩(C)，图件和附表代号为&lt;5&gt;：</w:t>
      </w:r>
    </w:p>
    <w:p w14:paraId="24A7F4F7">
      <w:pPr>
        <w:ind w:firstLine="480"/>
        <w:rPr>
          <w:highlight w:val="none"/>
        </w:rPr>
      </w:pPr>
      <w:r>
        <w:rPr>
          <w:rFonts w:hint="eastAsia"/>
          <w:highlight w:val="none"/>
        </w:rPr>
        <w:t>⑤1强风化炭质页岩:浅灰色、灰黑色，薄层状及片状构造，泥质结构，岩体节理裂隙发育，经机械破碎呈碎块状及岩夹土状，锤击易碎，手可掰断，可污手，节长一般2~10 cm，最大达20 cm，局部夹中风化炭质页岩。</w:t>
      </w:r>
    </w:p>
    <w:p w14:paraId="5A6D5E0D">
      <w:pPr>
        <w:ind w:firstLine="480"/>
        <w:rPr>
          <w:highlight w:val="none"/>
        </w:rPr>
      </w:pPr>
      <w:r>
        <w:rPr>
          <w:rFonts w:hint="eastAsia"/>
          <w:highlight w:val="none"/>
        </w:rPr>
        <w:t>⑤2中风化炭质页岩:浅灰色、灰黑色，薄层状及片状构造，泥质结构，裂隙较发育，岩芯较破碎-较完整，岩质较软，锤击声哑，可污手，以短柱状、柱状为主，块状、片状为次，节长10~20 cm，最长40 cm，RQD为80%~-85%。</w:t>
      </w:r>
    </w:p>
    <w:p w14:paraId="30BE0D03">
      <w:pPr>
        <w:ind w:firstLine="480"/>
        <w:rPr>
          <w:highlight w:val="none"/>
        </w:rPr>
      </w:pPr>
      <w:r>
        <w:rPr>
          <w:rFonts w:hint="eastAsia"/>
          <w:highlight w:val="none"/>
        </w:rPr>
        <w:t>（6）石炭系炭质灰岩(C)，图件和附表代号为&lt;6&gt;：</w:t>
      </w:r>
    </w:p>
    <w:p w14:paraId="06060256">
      <w:pPr>
        <w:ind w:firstLine="480"/>
        <w:rPr>
          <w:highlight w:val="none"/>
        </w:rPr>
      </w:pPr>
      <w:r>
        <w:rPr>
          <w:rFonts w:hint="eastAsia"/>
          <w:highlight w:val="none"/>
        </w:rPr>
        <w:t>⑥1中风化炭质灰岩:灰色，隐晶质结构，层状构造，裂隙发育，充填方解石脉.岩质较新鲜坚硬，锤击声较脆.岩芯较完整，以碎块状为主，块径为2~7cm不等，RQD为占80%~85%。</w:t>
      </w:r>
    </w:p>
    <w:p w14:paraId="2F945357">
      <w:pPr>
        <w:ind w:firstLine="480"/>
        <w:rPr>
          <w:highlight w:val="none"/>
        </w:rPr>
      </w:pPr>
      <w:r>
        <w:rPr>
          <w:rFonts w:hint="eastAsia"/>
          <w:highlight w:val="none"/>
        </w:rPr>
        <w:t>⑥2微风化炭质灰岩:灰色，隐晶质结构，层状构造，裂隙较发育，充填方解石脉，岩质新鲜坚硬，锤击声脆.岩芯较完整，以长柱状为主，短柱状为次，少量块状、饼状，节长10~25 cm，最长45 cm，RQD为85%~-92%。</w:t>
      </w:r>
    </w:p>
    <w:p w14:paraId="684E0FFD">
      <w:pPr>
        <w:ind w:firstLine="480"/>
        <w:rPr>
          <w:highlight w:val="none"/>
        </w:rPr>
      </w:pPr>
      <w:r>
        <w:rPr>
          <w:rFonts w:hint="eastAsia"/>
          <w:highlight w:val="none"/>
        </w:rPr>
        <w:t>⑥3溶洞:本场地15个钻孔中均有揭露，层厚0.50-6.10m，平均厚度2.99m，层顶埋深6.00-50.30m，层顶高程3.76-56.05m，层底埋深7.20-50.80m，层底高程-0.84-54.45米。溶洞半充填，漏水，充填物为破碎原岩碎块。</w:t>
      </w:r>
    </w:p>
    <w:p w14:paraId="15C83F85">
      <w:pPr>
        <w:pStyle w:val="5"/>
        <w:ind w:firstLine="482"/>
        <w:rPr>
          <w:color w:val="auto"/>
          <w:highlight w:val="none"/>
        </w:rPr>
      </w:pPr>
      <w:r>
        <w:rPr>
          <w:rFonts w:hint="eastAsia"/>
          <w:color w:val="auto"/>
          <w:highlight w:val="none"/>
        </w:rPr>
        <w:t>水文条件</w:t>
      </w:r>
    </w:p>
    <w:p w14:paraId="3E39864B">
      <w:pPr>
        <w:ind w:firstLine="480"/>
        <w:rPr>
          <w:highlight w:val="none"/>
        </w:rPr>
      </w:pPr>
      <w:r>
        <w:rPr>
          <w:rFonts w:hint="eastAsia"/>
          <w:highlight w:val="none"/>
        </w:rPr>
        <w:t>1、地表水</w:t>
      </w:r>
    </w:p>
    <w:p w14:paraId="3FE1AED5">
      <w:pPr>
        <w:ind w:firstLine="480"/>
        <w:rPr>
          <w:highlight w:val="none"/>
        </w:rPr>
      </w:pPr>
      <w:r>
        <w:rPr>
          <w:rFonts w:hint="eastAsia"/>
          <w:highlight w:val="none"/>
        </w:rPr>
        <w:t>项目位于广州市花都区，流溪河右干渠以南从场地北侧600 m以外经过，对本项目无影响.场地范围内无河流等地表水体，地表水系不发育，总体上对工程建设的影响不大.但应注意雨季施工，暴雨久雨情况下地表汇水对施工的不利影响。</w:t>
      </w:r>
    </w:p>
    <w:p w14:paraId="4FFCF513">
      <w:pPr>
        <w:ind w:firstLine="480"/>
        <w:rPr>
          <w:highlight w:val="none"/>
        </w:rPr>
      </w:pPr>
      <w:r>
        <w:rPr>
          <w:rFonts w:hint="eastAsia"/>
          <w:highlight w:val="none"/>
        </w:rPr>
        <w:t>2、地下水</w:t>
      </w:r>
    </w:p>
    <w:p w14:paraId="3652AF9F">
      <w:pPr>
        <w:ind w:firstLine="480"/>
        <w:rPr>
          <w:highlight w:val="none"/>
        </w:rPr>
      </w:pPr>
      <w:r>
        <w:rPr>
          <w:rFonts w:hint="eastAsia"/>
          <w:highlight w:val="none"/>
        </w:rPr>
        <w:t>据钻探揭露，场地内地下水按照地下水的赋存方式可分为包气带上层滞水、基岩裂隙水、岩溶水等3个类型。</w:t>
      </w:r>
    </w:p>
    <w:p w14:paraId="1D2838D0">
      <w:pPr>
        <w:ind w:firstLine="480"/>
        <w:rPr>
          <w:highlight w:val="none"/>
        </w:rPr>
      </w:pPr>
      <w:r>
        <w:rPr>
          <w:rFonts w:hint="eastAsia"/>
          <w:highlight w:val="none"/>
        </w:rPr>
        <w:t>(1)上层滞水:赋存于素填土中，主要接受大气降水补给，透水性良好，排泄方式主要为自然蒸发和垂直下渗。</w:t>
      </w:r>
    </w:p>
    <w:p w14:paraId="2B183312">
      <w:pPr>
        <w:ind w:firstLine="480"/>
        <w:rPr>
          <w:highlight w:val="none"/>
        </w:rPr>
      </w:pPr>
      <w:r>
        <w:rPr>
          <w:rFonts w:hint="eastAsia"/>
          <w:highlight w:val="none"/>
        </w:rPr>
        <w:t>(2)基岩裂隙水:基岩裂隙水主要赋存于基岩风化裂隙中，赋水性亦较弱，含水层厚度因裂隙、节理发育程度不同而差异较大，透水性不均匀，透水性取决于裂缝宽(度及贯通性，本场地裂隙水主要赋存于全、强风化岩层中下部(半岩半土状、碎块状)及中风化岩上部破碎带中，基岩裂隙水补给主要来源于外围基岩裂隙水和构造裂隙水的侧向补给，并接受上部土层孔隙水越流补给，排泄方式主要为侧向径流.</w:t>
      </w:r>
    </w:p>
    <w:p w14:paraId="5A6BF328">
      <w:pPr>
        <w:ind w:firstLine="480"/>
        <w:rPr>
          <w:highlight w:val="none"/>
        </w:rPr>
      </w:pPr>
      <w:r>
        <w:rPr>
          <w:rFonts w:hint="eastAsia"/>
          <w:highlight w:val="none"/>
        </w:rPr>
        <w:t>(3)灰岩区岩溶发育较弱不均匀，本场地揭示的岩溶发育在下伏岩层中，下伏基岩总体.上透水性和富水性较弱，但遇溶洞部位地下水较丰富，岩溶发育部位，裂隙岩溶水水量较丰富，揭穿时瞬间水量可能较大.本次钻探部分钻孔发现了溶洞，但难以查清溶洞的连通性，总之，本场地水文地质条件较复杂.建议基槽开挖时做好截水排水措施，在桩基础设计与施工时必须引起注意，并采取相应的措施。</w:t>
      </w:r>
    </w:p>
    <w:p w14:paraId="7A5C3984">
      <w:pPr>
        <w:ind w:firstLine="480"/>
        <w:rPr>
          <w:highlight w:val="none"/>
        </w:rPr>
      </w:pPr>
      <w:r>
        <w:rPr>
          <w:rFonts w:hint="eastAsia"/>
          <w:highlight w:val="none"/>
        </w:rPr>
        <w:t>地下水位的变化随季节性变化较大，一般雨季水位略有抬升，早季水位略有降落。钻孔施工期间测得场区初见水位0.4~28.3m，混合稳定水位埋深在0.5~29.1m，相应高程17.69-63.18m，场地地下水位变化主要受季节和降雨量影响，场地水位埋深变化幅度较大，年度水位幅度约1.50~2.00m。</w:t>
      </w:r>
    </w:p>
    <w:p w14:paraId="3F17840D">
      <w:pPr>
        <w:ind w:firstLine="480"/>
        <w:rPr>
          <w:highlight w:val="none"/>
        </w:rPr>
      </w:pPr>
      <w:r>
        <w:rPr>
          <w:rFonts w:hint="eastAsia"/>
          <w:highlight w:val="none"/>
        </w:rPr>
        <w:t>本场地位于湿润区，为II类环境，根据工程水质分析结果，按国家标准“岩土工程勘察规范“(GB50021-2001)(2009年版)的有关规定，结合本场地的岩土条件，场地水对混凝士结构均呈微腐蚀性，水对钢筋混凝土结构中的钢筋具微腐蚀性。</w:t>
      </w:r>
    </w:p>
    <w:p w14:paraId="0431AD62">
      <w:pPr>
        <w:numPr>
          <w:ilvl w:val="0"/>
          <w:numId w:val="3"/>
        </w:numPr>
        <w:ind w:firstLine="480"/>
        <w:rPr>
          <w:rFonts w:cs="Times New Roman"/>
          <w:highlight w:val="none"/>
          <w:lang w:val="en-GB"/>
        </w:rPr>
      </w:pPr>
      <w:r>
        <w:rPr>
          <w:rFonts w:hint="eastAsia" w:cs="Times New Roman"/>
          <w:highlight w:val="none"/>
          <w:lang w:val="en-GB"/>
        </w:rPr>
        <w:t>水和土对建筑材料腐蚀性判别</w:t>
      </w:r>
    </w:p>
    <w:p w14:paraId="00D54719">
      <w:pPr>
        <w:ind w:firstLine="480"/>
        <w:rPr>
          <w:highlight w:val="none"/>
        </w:rPr>
      </w:pPr>
      <w:r>
        <w:rPr>
          <w:rFonts w:hint="eastAsia"/>
          <w:highlight w:val="none"/>
        </w:rPr>
        <w:t>场地水对混凝土结构均呈微腐蚀性，水对钢筋混凝土结构中的钢筋具微腐蚀性。</w:t>
      </w:r>
    </w:p>
    <w:p w14:paraId="111529EE">
      <w:pPr>
        <w:ind w:firstLine="480"/>
        <w:rPr>
          <w:rFonts w:cs="Times New Roman"/>
          <w:highlight w:val="none"/>
        </w:rPr>
      </w:pPr>
      <w:r>
        <w:rPr>
          <w:rFonts w:hint="eastAsia"/>
          <w:highlight w:val="none"/>
        </w:rPr>
        <w:t>按环境类型和地层渗透性土对混凝:土结构呈微腐蚀性；土对钢筋混凝土结构中的钢筋具微腐蚀性；土对钢结构腐蚀性为微腐蚀。</w:t>
      </w:r>
    </w:p>
    <w:p w14:paraId="73F64A81">
      <w:pPr>
        <w:pStyle w:val="5"/>
        <w:ind w:firstLine="482"/>
        <w:rPr>
          <w:color w:val="auto"/>
          <w:highlight w:val="none"/>
        </w:rPr>
      </w:pPr>
      <w:r>
        <w:rPr>
          <w:rFonts w:hint="eastAsia"/>
          <w:color w:val="auto"/>
          <w:highlight w:val="none"/>
        </w:rPr>
        <w:t>不良地质作用</w:t>
      </w:r>
    </w:p>
    <w:p w14:paraId="4A95214C">
      <w:pPr>
        <w:ind w:firstLine="480"/>
        <w:rPr>
          <w:highlight w:val="none"/>
        </w:rPr>
      </w:pPr>
      <w:r>
        <w:rPr>
          <w:rFonts w:hint="eastAsia"/>
          <w:highlight w:val="none"/>
        </w:rPr>
        <w:t>本场地位于岩溶发育地区，其主要不良地质作用为溶洞，岩溶发育特征如下：</w:t>
      </w:r>
    </w:p>
    <w:p w14:paraId="562B4E87">
      <w:pPr>
        <w:ind w:firstLine="480"/>
        <w:rPr>
          <w:highlight w:val="none"/>
        </w:rPr>
      </w:pPr>
      <w:r>
        <w:rPr>
          <w:rFonts w:hint="eastAsia"/>
          <w:highlight w:val="none"/>
        </w:rPr>
        <w:t>本场地位于岩溶发育地区，其主要不良地质作用为溶(土)洞，岩溶发育特征如下：</w:t>
      </w:r>
    </w:p>
    <w:p w14:paraId="56707CCA">
      <w:pPr>
        <w:numPr>
          <w:ilvl w:val="0"/>
          <w:numId w:val="4"/>
        </w:numPr>
        <w:ind w:firstLine="480"/>
        <w:rPr>
          <w:highlight w:val="none"/>
        </w:rPr>
      </w:pPr>
      <w:r>
        <w:rPr>
          <w:rFonts w:hint="eastAsia"/>
          <w:highlight w:val="none"/>
        </w:rPr>
        <w:t>本次勘察总共210个钻孔，其中182个钻孔揭露灰岩，在揭露灰岩的钻孔有14个钻孔发现溶洞，钻孔遇洞率7.69%，溶洞总高47.93m，线岩溶率3.0%，根据广东省“岩溶地区建筑地基基础技术规范”(DBJ/T15-136-2018)第3.1.4条，场地岩溶发育等级属弱发育，洞隙高0.5m~6.1m。本场地14个钻孔中均有揭露，溶洞半充填，漏水，充填物为少量原岩碎块。</w:t>
      </w:r>
    </w:p>
    <w:p w14:paraId="347032DE">
      <w:pPr>
        <w:ind w:firstLine="480"/>
        <w:rPr>
          <w:highlight w:val="none"/>
        </w:rPr>
      </w:pPr>
      <w:r>
        <w:rPr>
          <w:rFonts w:hint="eastAsia"/>
          <w:highlight w:val="none"/>
        </w:rPr>
        <w:t>(2)岩溶形态为半充填溶洞或溶槽，洞高0.5m~6.1m，主要分布于基岩上部，表明浅部岩溶局部发育强烈。</w:t>
      </w:r>
    </w:p>
    <w:p w14:paraId="4F5C2E30">
      <w:pPr>
        <w:ind w:firstLine="480"/>
        <w:rPr>
          <w:highlight w:val="none"/>
        </w:rPr>
      </w:pPr>
      <w:r>
        <w:rPr>
          <w:rFonts w:hint="eastAsia"/>
          <w:highlight w:val="none"/>
        </w:rPr>
        <w:t>(3)场地炭质灰岩基岩面起伏较大，岩面埋深6.0~50.3m，层顶高程3.76~32.57m，溶沟、溶槽等局部发育较强。</w:t>
      </w:r>
    </w:p>
    <w:p w14:paraId="1E64C27A">
      <w:pPr>
        <w:ind w:firstLine="480"/>
        <w:rPr>
          <w:highlight w:val="none"/>
        </w:rPr>
      </w:pPr>
      <w:r>
        <w:rPr>
          <w:rFonts w:hint="eastAsia"/>
          <w:highlight w:val="none"/>
        </w:rPr>
        <w:t>(4)地表岩溶塌陷现象不发育，未见地裂缝、塌陷、漏斗等现象。</w:t>
      </w:r>
    </w:p>
    <w:p w14:paraId="1A859066">
      <w:pPr>
        <w:ind w:firstLine="480"/>
        <w:rPr>
          <w:highlight w:val="none"/>
        </w:rPr>
      </w:pPr>
      <w:r>
        <w:rPr>
          <w:rFonts w:hint="eastAsia"/>
          <w:highlight w:val="none"/>
        </w:rPr>
        <w:t>(5)拟建场地岩溶发育在地下水位以下，与侵蚀基面相适应，说明场地岩溶仍在缓慢发育进行中，稳定性较差.溶洞规模一般，一般在岩面附近，顶板较薄，需要处理，可采用桩基础予以穿越，或采用注浆进行充填处理。</w:t>
      </w:r>
    </w:p>
    <w:p w14:paraId="110156E0">
      <w:pPr>
        <w:pStyle w:val="5"/>
        <w:ind w:firstLine="482"/>
        <w:rPr>
          <w:color w:val="auto"/>
          <w:highlight w:val="none"/>
        </w:rPr>
      </w:pPr>
      <w:r>
        <w:rPr>
          <w:rFonts w:hint="eastAsia"/>
          <w:color w:val="auto"/>
          <w:highlight w:val="none"/>
        </w:rPr>
        <w:t>岩土工程力学指标建议值</w:t>
      </w:r>
    </w:p>
    <w:p w14:paraId="6245E70B">
      <w:pPr>
        <w:spacing w:line="240" w:lineRule="auto"/>
        <w:ind w:firstLine="0" w:firstLineChars="0"/>
        <w:jc w:val="center"/>
        <w:rPr>
          <w:highlight w:val="none"/>
        </w:rPr>
      </w:pPr>
    </w:p>
    <w:p w14:paraId="2EBD7B52">
      <w:pPr>
        <w:spacing w:line="240" w:lineRule="auto"/>
        <w:ind w:firstLine="0" w:firstLineChars="0"/>
        <w:jc w:val="center"/>
        <w:rPr>
          <w:highlight w:val="none"/>
        </w:rPr>
      </w:pPr>
    </w:p>
    <w:p w14:paraId="3630C8F7">
      <w:pPr>
        <w:kinsoku w:val="0"/>
        <w:autoSpaceDE w:val="0"/>
        <w:autoSpaceDN w:val="0"/>
        <w:spacing w:line="192" w:lineRule="auto"/>
        <w:ind w:firstLine="0" w:firstLineChars="0"/>
        <w:jc w:val="center"/>
        <w:rPr>
          <w:highlight w:val="none"/>
        </w:rPr>
      </w:pPr>
      <w:r>
        <w:rPr>
          <w:rFonts w:hint="eastAsia"/>
          <w:highlight w:val="none"/>
        </w:rPr>
        <w:t>岩土参数建议值表</w:t>
      </w:r>
    </w:p>
    <w:p w14:paraId="089A6CD9">
      <w:pPr>
        <w:kinsoku w:val="0"/>
        <w:autoSpaceDE w:val="0"/>
        <w:autoSpaceDN w:val="0"/>
        <w:spacing w:line="192" w:lineRule="auto"/>
        <w:ind w:firstLine="0" w:firstLineChars="0"/>
        <w:jc w:val="center"/>
        <w:textAlignment w:val="bottom"/>
        <w:rPr>
          <w:highlight w:val="none"/>
        </w:rPr>
      </w:pPr>
      <w:r>
        <w:rPr>
          <w:rFonts w:hint="eastAsia"/>
          <w:highlight w:val="none"/>
        </w:rPr>
        <w:drawing>
          <wp:inline distT="0" distB="0" distL="114300" distR="114300">
            <wp:extent cx="6257925" cy="435610"/>
            <wp:effectExtent l="0" t="0" r="9525" b="2540"/>
            <wp:docPr id="3" name="图片 3" descr="QQ截图2021110223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Q截图20211102233832"/>
                    <pic:cNvPicPr>
                      <a:picLocks noChangeAspect="1"/>
                    </pic:cNvPicPr>
                  </pic:nvPicPr>
                  <pic:blipFill>
                    <a:blip r:embed="rId19"/>
                    <a:stretch>
                      <a:fillRect/>
                    </a:stretch>
                  </pic:blipFill>
                  <pic:spPr>
                    <a:xfrm>
                      <a:off x="0" y="0"/>
                      <a:ext cx="6257925" cy="435610"/>
                    </a:xfrm>
                    <a:prstGeom prst="rect">
                      <a:avLst/>
                    </a:prstGeom>
                  </pic:spPr>
                </pic:pic>
              </a:graphicData>
            </a:graphic>
          </wp:inline>
        </w:drawing>
      </w:r>
      <w:r>
        <w:rPr>
          <w:rFonts w:hint="eastAsia"/>
          <w:highlight w:val="none"/>
        </w:rPr>
        <w:drawing>
          <wp:inline distT="0" distB="0" distL="114300" distR="114300">
            <wp:extent cx="6259830" cy="2952750"/>
            <wp:effectExtent l="0" t="0" r="7620" b="0"/>
            <wp:docPr id="7" name="图片 7" descr="QQ截图2021110223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QQ截图20211102233852"/>
                    <pic:cNvPicPr>
                      <a:picLocks noChangeAspect="1"/>
                    </pic:cNvPicPr>
                  </pic:nvPicPr>
                  <pic:blipFill>
                    <a:blip r:embed="rId20"/>
                    <a:stretch>
                      <a:fillRect/>
                    </a:stretch>
                  </pic:blipFill>
                  <pic:spPr>
                    <a:xfrm>
                      <a:off x="0" y="0"/>
                      <a:ext cx="6259830" cy="2952750"/>
                    </a:xfrm>
                    <a:prstGeom prst="rect">
                      <a:avLst/>
                    </a:prstGeom>
                  </pic:spPr>
                </pic:pic>
              </a:graphicData>
            </a:graphic>
          </wp:inline>
        </w:drawing>
      </w:r>
    </w:p>
    <w:p w14:paraId="274E6E64">
      <w:pPr>
        <w:pStyle w:val="4"/>
        <w:spacing w:before="163" w:after="163"/>
        <w:ind w:firstLine="560"/>
        <w:rPr>
          <w:color w:val="auto"/>
          <w:highlight w:val="none"/>
        </w:rPr>
      </w:pPr>
      <w:bookmarkStart w:id="13" w:name="_Toc10666"/>
      <w:r>
        <w:rPr>
          <w:rFonts w:hint="eastAsia"/>
          <w:color w:val="auto"/>
          <w:highlight w:val="none"/>
        </w:rPr>
        <w:t>现状分析</w:t>
      </w:r>
      <w:bookmarkEnd w:id="13"/>
    </w:p>
    <w:p w14:paraId="06EDB697">
      <w:pPr>
        <w:ind w:firstLine="480"/>
        <w:rPr>
          <w:highlight w:val="none"/>
        </w:rPr>
      </w:pPr>
      <w:r>
        <w:rPr>
          <w:rFonts w:hint="eastAsia"/>
          <w:highlight w:val="none"/>
        </w:rPr>
        <w:t>本工程为新建工程，根据现场踏勘，工程建设范围内无现状雨污系统。</w:t>
      </w:r>
      <w:r>
        <w:rPr>
          <w:highlight w:val="none"/>
        </w:rPr>
        <w:t xml:space="preserve"> </w:t>
      </w:r>
    </w:p>
    <w:p w14:paraId="68828489">
      <w:pPr>
        <w:pStyle w:val="4"/>
        <w:spacing w:before="163" w:after="163"/>
        <w:ind w:firstLine="560"/>
        <w:rPr>
          <w:color w:val="auto"/>
          <w:highlight w:val="none"/>
        </w:rPr>
      </w:pPr>
      <w:bookmarkStart w:id="14" w:name="_Toc32711"/>
      <w:r>
        <w:rPr>
          <w:rFonts w:hint="eastAsia"/>
          <w:color w:val="auto"/>
          <w:highlight w:val="none"/>
        </w:rPr>
        <w:t>规划分析</w:t>
      </w:r>
      <w:bookmarkEnd w:id="14"/>
    </w:p>
    <w:p w14:paraId="7223791F">
      <w:pPr>
        <w:ind w:firstLine="480"/>
        <w:jc w:val="center"/>
        <w:rPr>
          <w:highlight w:val="none"/>
        </w:rPr>
      </w:pPr>
      <w:r>
        <w:rPr>
          <w:highlight w:val="none"/>
        </w:rPr>
        <w:drawing>
          <wp:inline distT="0" distB="0" distL="0" distR="0">
            <wp:extent cx="4572000" cy="3324860"/>
            <wp:effectExtent l="0" t="0" r="0" b="8890"/>
            <wp:docPr id="13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图片 20"/>
                    <pic:cNvPicPr>
                      <a:picLocks noChangeAspect="1" noChangeArrowheads="1"/>
                    </pic:cNvPicPr>
                  </pic:nvPicPr>
                  <pic:blipFill>
                    <a:blip r:embed="rId21" cstate="print"/>
                    <a:srcRect/>
                    <a:stretch>
                      <a:fillRect/>
                    </a:stretch>
                  </pic:blipFill>
                  <pic:spPr>
                    <a:xfrm>
                      <a:off x="0" y="0"/>
                      <a:ext cx="4605589" cy="3349713"/>
                    </a:xfrm>
                    <a:prstGeom prst="rect">
                      <a:avLst/>
                    </a:prstGeom>
                    <a:noFill/>
                    <a:ln w="9525">
                      <a:noFill/>
                      <a:miter lim="800000"/>
                      <a:headEnd/>
                      <a:tailEnd/>
                    </a:ln>
                  </pic:spPr>
                </pic:pic>
              </a:graphicData>
            </a:graphic>
          </wp:inline>
        </w:drawing>
      </w:r>
    </w:p>
    <w:p w14:paraId="55EA960B">
      <w:pPr>
        <w:ind w:firstLine="0" w:firstLineChars="0"/>
        <w:jc w:val="center"/>
        <w:rPr>
          <w:b/>
          <w:bCs/>
          <w:highlight w:val="none"/>
        </w:rPr>
      </w:pPr>
      <w:r>
        <w:rPr>
          <w:rFonts w:hint="eastAsia"/>
          <w:b/>
          <w:bCs/>
          <w:highlight w:val="none"/>
        </w:rPr>
        <w:t>雨水规划管网图</w:t>
      </w:r>
    </w:p>
    <w:p w14:paraId="238B0089">
      <w:pPr>
        <w:ind w:firstLine="199" w:firstLineChars="83"/>
        <w:jc w:val="center"/>
        <w:rPr>
          <w:highlight w:val="none"/>
        </w:rPr>
      </w:pPr>
      <w:r>
        <w:rPr>
          <w:highlight w:val="none"/>
        </w:rPr>
        <w:drawing>
          <wp:inline distT="0" distB="0" distL="0" distR="0">
            <wp:extent cx="4603115" cy="3195955"/>
            <wp:effectExtent l="0" t="0" r="6985" b="4445"/>
            <wp:docPr id="136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图片 17"/>
                    <pic:cNvPicPr>
                      <a:picLocks noChangeAspect="1" noChangeArrowheads="1"/>
                    </pic:cNvPicPr>
                  </pic:nvPicPr>
                  <pic:blipFill>
                    <a:blip r:embed="rId22" cstate="print"/>
                    <a:srcRect/>
                    <a:stretch>
                      <a:fillRect/>
                    </a:stretch>
                  </pic:blipFill>
                  <pic:spPr>
                    <a:xfrm>
                      <a:off x="0" y="0"/>
                      <a:ext cx="4613834" cy="3203517"/>
                    </a:xfrm>
                    <a:prstGeom prst="rect">
                      <a:avLst/>
                    </a:prstGeom>
                    <a:noFill/>
                    <a:ln w="9525">
                      <a:noFill/>
                      <a:miter lim="800000"/>
                      <a:headEnd/>
                      <a:tailEnd/>
                    </a:ln>
                  </pic:spPr>
                </pic:pic>
              </a:graphicData>
            </a:graphic>
          </wp:inline>
        </w:drawing>
      </w:r>
    </w:p>
    <w:p w14:paraId="26A047C3">
      <w:pPr>
        <w:ind w:firstLine="0" w:firstLineChars="0"/>
        <w:jc w:val="center"/>
        <w:rPr>
          <w:b/>
          <w:bCs/>
          <w:highlight w:val="none"/>
        </w:rPr>
      </w:pPr>
      <w:r>
        <w:rPr>
          <w:rFonts w:hint="eastAsia"/>
          <w:b/>
          <w:bCs/>
          <w:highlight w:val="none"/>
        </w:rPr>
        <w:t>污水规划管网图</w:t>
      </w:r>
    </w:p>
    <w:p w14:paraId="6DEDBBF5">
      <w:pPr>
        <w:pStyle w:val="9"/>
        <w:adjustRightInd/>
        <w:snapToGrid w:val="0"/>
        <w:spacing w:line="360" w:lineRule="auto"/>
        <w:ind w:firstLine="480" w:firstLineChars="200"/>
        <w:jc w:val="both"/>
        <w:rPr>
          <w:rFonts w:cstheme="minorBidi"/>
          <w:spacing w:val="0"/>
          <w:kern w:val="2"/>
          <w:szCs w:val="22"/>
          <w:highlight w:val="none"/>
        </w:rPr>
      </w:pPr>
      <w:r>
        <w:rPr>
          <w:rFonts w:hint="eastAsia" w:cstheme="minorBidi"/>
          <w:spacing w:val="0"/>
          <w:kern w:val="2"/>
          <w:szCs w:val="22"/>
          <w:highlight w:val="none"/>
        </w:rPr>
        <w:t>根据《花都区机场北临空物流片区市政专项规划和管线综合规划》规划设计条件：道路采用雨污分流制，永安路雨水系统收集路面及地块两侧雨水后排入支路四北侧段雨水系统，设计范围内的支路四雨水系统收集路面及地块两侧雨水后排入支路四南侧段雨水系统。永安路污水系统收集地块污水后接入设计范围内支路四污水系统，</w:t>
      </w:r>
      <w:bookmarkStart w:id="15" w:name="_Toc39462789"/>
      <w:r>
        <w:rPr>
          <w:rFonts w:hint="eastAsia" w:cstheme="minorBidi"/>
          <w:spacing w:val="0"/>
          <w:kern w:val="2"/>
          <w:szCs w:val="22"/>
          <w:highlight w:val="none"/>
        </w:rPr>
        <w:t>最终通过管道转输至花东污水处理厂</w:t>
      </w:r>
      <w:bookmarkEnd w:id="15"/>
      <w:r>
        <w:rPr>
          <w:rFonts w:hint="eastAsia" w:cstheme="minorBidi"/>
          <w:spacing w:val="0"/>
          <w:kern w:val="2"/>
          <w:szCs w:val="22"/>
          <w:highlight w:val="none"/>
        </w:rPr>
        <w:t>。</w:t>
      </w:r>
    </w:p>
    <w:p w14:paraId="5450A814">
      <w:pPr>
        <w:pStyle w:val="5"/>
        <w:ind w:firstLine="482"/>
        <w:rPr>
          <w:color w:val="auto"/>
          <w:highlight w:val="none"/>
        </w:rPr>
      </w:pPr>
      <w:r>
        <w:rPr>
          <w:rFonts w:hint="eastAsia"/>
          <w:color w:val="auto"/>
          <w:highlight w:val="none"/>
        </w:rPr>
        <w:t>排水体制</w:t>
      </w:r>
    </w:p>
    <w:p w14:paraId="354CEDB2">
      <w:pPr>
        <w:ind w:firstLine="480"/>
        <w:rPr>
          <w:highlight w:val="none"/>
        </w:rPr>
      </w:pPr>
      <w:r>
        <w:rPr>
          <w:rFonts w:hint="eastAsia"/>
          <w:highlight w:val="none"/>
        </w:rPr>
        <w:t>本工程建设区域采用雨污分流制。</w:t>
      </w:r>
    </w:p>
    <w:p w14:paraId="634784C0">
      <w:pPr>
        <w:pStyle w:val="5"/>
        <w:ind w:firstLine="482"/>
        <w:rPr>
          <w:color w:val="auto"/>
          <w:highlight w:val="none"/>
        </w:rPr>
      </w:pPr>
      <w:r>
        <w:rPr>
          <w:rFonts w:hint="eastAsia"/>
          <w:color w:val="auto"/>
          <w:highlight w:val="none"/>
        </w:rPr>
        <w:t>雨水工程</w:t>
      </w:r>
    </w:p>
    <w:p w14:paraId="49BCB7B4">
      <w:pPr>
        <w:ind w:firstLine="480" w:firstLineChars="0"/>
        <w:rPr>
          <w:highlight w:val="none"/>
        </w:rPr>
      </w:pPr>
      <w:r>
        <w:rPr>
          <w:rFonts w:hint="eastAsia"/>
          <w:highlight w:val="none"/>
        </w:rPr>
        <w:t>（1）暴雨强度公式</w:t>
      </w:r>
    </w:p>
    <w:p w14:paraId="67E05B31">
      <w:pPr>
        <w:ind w:firstLine="480"/>
        <w:rPr>
          <w:highlight w:val="none"/>
        </w:rPr>
      </w:pPr>
      <w:r>
        <w:rPr>
          <w:rFonts w:hint="eastAsia"/>
          <w:highlight w:val="none"/>
        </w:rPr>
        <w:t>采用广州市花都区相应设计重现期的暴雨强度计算公式：</w:t>
      </w:r>
    </w:p>
    <w:p w14:paraId="251748BC">
      <w:pPr>
        <w:ind w:firstLine="480"/>
        <w:rPr>
          <w:highlight w:val="none"/>
        </w:rPr>
      </w:pPr>
      <m:oMathPara>
        <m:oMath>
          <m:r>
            <m:rPr/>
            <w:rPr>
              <w:rFonts w:ascii="Cambria Math" w:hAnsi="Cambria Math"/>
              <w:highlight w:val="none"/>
            </w:rPr>
            <m:t>q</m:t>
          </m:r>
          <m:r>
            <m:rPr>
              <m:sty m:val="p"/>
            </m:rPr>
            <w:rPr>
              <w:rFonts w:ascii="Cambria Math" w:hAnsi="Cambria Math"/>
              <w:highlight w:val="none"/>
            </w:rPr>
            <m:t>=</m:t>
          </m:r>
          <m:f>
            <m:fPr>
              <m:ctrlPr>
                <w:rPr>
                  <w:rFonts w:ascii="Cambria Math" w:hAnsi="Cambria Math"/>
                  <w:highlight w:val="none"/>
                </w:rPr>
              </m:ctrlPr>
            </m:fPr>
            <m:num>
              <m:r>
                <m:rPr>
                  <m:sty m:val="p"/>
                </m:rPr>
                <w:rPr>
                  <w:rFonts w:hint="default" w:ascii="Cambria Math" w:hAnsi="Cambria Math"/>
                  <w:highlight w:val="none"/>
                  <w:lang w:val="en-US" w:eastAsia="zh-CN"/>
                </w:rPr>
                <m:t>6435.345</m:t>
              </m:r>
              <m:ctrlPr>
                <w:rPr>
                  <w:rFonts w:ascii="Cambria Math" w:hAnsi="Cambria Math"/>
                  <w:highlight w:val="none"/>
                </w:rPr>
              </m:ctrlPr>
            </m:num>
            <m:den>
              <m:sSup>
                <m:sSupPr>
                  <m:ctrlPr>
                    <w:rPr>
                      <w:rFonts w:ascii="Cambria Math" w:hAnsi="Cambria Math"/>
                      <w:highlight w:val="none"/>
                    </w:rPr>
                  </m:ctrlPr>
                </m:sSupPr>
                <m:e>
                  <m:r>
                    <m:rPr>
                      <m:sty m:val="p"/>
                    </m:rPr>
                    <w:rPr>
                      <w:rFonts w:ascii="Cambria Math" w:hAnsi="Cambria Math"/>
                      <w:highlight w:val="none"/>
                    </w:rPr>
                    <m:t>（</m:t>
                  </m:r>
                  <m:r>
                    <m:rPr/>
                    <w:rPr>
                      <w:rFonts w:ascii="Cambria Math" w:hAnsi="Cambria Math"/>
                      <w:highlight w:val="none"/>
                    </w:rPr>
                    <m:t>t</m:t>
                  </m:r>
                  <m:r>
                    <m:rPr>
                      <m:sty m:val="p"/>
                    </m:rPr>
                    <w:rPr>
                      <w:rFonts w:ascii="Cambria Math" w:hAnsi="Cambria Math"/>
                      <w:highlight w:val="none"/>
                    </w:rPr>
                    <m:t>+</m:t>
                  </m:r>
                  <m:r>
                    <m:rPr>
                      <m:sty m:val="p"/>
                    </m:rPr>
                    <w:rPr>
                      <w:rFonts w:hint="default" w:ascii="Cambria Math" w:hAnsi="Cambria Math"/>
                      <w:highlight w:val="none"/>
                      <w:lang w:val="en-US" w:eastAsia="zh-CN"/>
                    </w:rPr>
                    <m:t>25.354</m:t>
                  </m:r>
                  <m:r>
                    <m:rPr>
                      <m:sty m:val="p"/>
                    </m:rPr>
                    <w:rPr>
                      <w:rFonts w:ascii="Cambria Math" w:hAnsi="Cambria Math"/>
                      <w:highlight w:val="none"/>
                    </w:rPr>
                    <m:t>）</m:t>
                  </m:r>
                  <m:ctrlPr>
                    <w:rPr>
                      <w:rFonts w:ascii="Cambria Math" w:hAnsi="Cambria Math"/>
                      <w:highlight w:val="none"/>
                    </w:rPr>
                  </m:ctrlPr>
                </m:e>
                <m:sup>
                  <m:r>
                    <m:rPr>
                      <m:sty m:val="p"/>
                    </m:rPr>
                    <w:rPr>
                      <w:rFonts w:hint="default" w:ascii="Cambria Math" w:hAnsi="Cambria Math"/>
                      <w:highlight w:val="none"/>
                      <w:lang w:val="en-US" w:eastAsia="zh-CN"/>
                    </w:rPr>
                    <m:t>0.727</m:t>
                  </m:r>
                  <m:ctrlPr>
                    <w:rPr>
                      <w:rFonts w:ascii="Cambria Math" w:hAnsi="Cambria Math"/>
                      <w:highlight w:val="none"/>
                    </w:rPr>
                  </m:ctrlPr>
                </m:sup>
              </m:sSup>
              <m:ctrlPr>
                <w:rPr>
                  <w:rFonts w:ascii="Cambria Math" w:hAnsi="Cambria Math"/>
                  <w:highlight w:val="none"/>
                </w:rPr>
              </m:ctrlPr>
            </m:den>
          </m:f>
        </m:oMath>
      </m:oMathPara>
    </w:p>
    <w:p w14:paraId="094E1749">
      <w:pPr>
        <w:ind w:firstLine="480"/>
        <w:rPr>
          <w:highlight w:val="none"/>
        </w:rPr>
      </w:pPr>
      <w:r>
        <w:rPr>
          <w:rFonts w:hint="eastAsia"/>
          <w:highlight w:val="none"/>
        </w:rPr>
        <w:t>其中，</w:t>
      </w:r>
      <w:r>
        <w:rPr>
          <w:highlight w:val="none"/>
        </w:rPr>
        <w:t>t=t</w:t>
      </w:r>
      <w:r>
        <w:rPr>
          <w:highlight w:val="none"/>
          <w:vertAlign w:val="subscript"/>
        </w:rPr>
        <w:t>1</w:t>
      </w:r>
      <w:r>
        <w:rPr>
          <w:highlight w:val="none"/>
        </w:rPr>
        <w:t>+t</w:t>
      </w:r>
      <w:r>
        <w:rPr>
          <w:highlight w:val="none"/>
          <w:vertAlign w:val="subscript"/>
        </w:rPr>
        <w:t>2</w:t>
      </w:r>
    </w:p>
    <w:p w14:paraId="13E00DD6">
      <w:pPr>
        <w:ind w:firstLine="1274" w:firstLineChars="531"/>
        <w:rPr>
          <w:highlight w:val="none"/>
        </w:rPr>
      </w:pPr>
      <w:r>
        <w:rPr>
          <w:highlight w:val="none"/>
        </w:rPr>
        <w:t>t</w:t>
      </w:r>
      <w:r>
        <w:rPr>
          <w:highlight w:val="none"/>
          <w:vertAlign w:val="subscript"/>
        </w:rPr>
        <w:t>1</w:t>
      </w:r>
      <w:r>
        <w:rPr>
          <w:rFonts w:hint="eastAsia"/>
          <w:highlight w:val="none"/>
        </w:rPr>
        <w:t>——地面集水时间（分钟）</w:t>
      </w:r>
    </w:p>
    <w:p w14:paraId="157F74B4">
      <w:pPr>
        <w:ind w:firstLine="1274" w:firstLineChars="531"/>
        <w:rPr>
          <w:highlight w:val="none"/>
        </w:rPr>
      </w:pPr>
      <w:r>
        <w:rPr>
          <w:highlight w:val="none"/>
        </w:rPr>
        <w:t>t</w:t>
      </w:r>
      <w:r>
        <w:rPr>
          <w:highlight w:val="none"/>
          <w:vertAlign w:val="subscript"/>
        </w:rPr>
        <w:t>2</w:t>
      </w:r>
      <w:r>
        <w:rPr>
          <w:rFonts w:hint="eastAsia"/>
          <w:highlight w:val="none"/>
        </w:rPr>
        <w:t>——管内雨水流行时间（分钟）</w:t>
      </w:r>
    </w:p>
    <w:p w14:paraId="55ACEC70">
      <w:pPr>
        <w:ind w:firstLine="1274" w:firstLineChars="531"/>
        <w:rPr>
          <w:highlight w:val="none"/>
        </w:rPr>
      </w:pPr>
      <w:r>
        <w:rPr>
          <w:rFonts w:hint="eastAsia"/>
          <w:highlight w:val="none"/>
        </w:rPr>
        <w:t>q——暴雨强度，L/s·ha</w:t>
      </w:r>
    </w:p>
    <w:p w14:paraId="65F776BA">
      <w:pPr>
        <w:ind w:firstLine="1274" w:firstLineChars="531"/>
        <w:rPr>
          <w:highlight w:val="none"/>
        </w:rPr>
      </w:pPr>
      <w:r>
        <w:rPr>
          <w:highlight w:val="none"/>
        </w:rPr>
        <w:t>P</w:t>
      </w:r>
      <w:r>
        <w:rPr>
          <w:rFonts w:hint="eastAsia"/>
          <w:highlight w:val="none"/>
        </w:rPr>
        <w:t>——设计重现期，</w:t>
      </w:r>
      <w:r>
        <w:rPr>
          <w:rFonts w:hint="eastAsia"/>
          <w:highlight w:val="yellow"/>
        </w:rPr>
        <w:t>取</w:t>
      </w:r>
      <w:r>
        <w:rPr>
          <w:rFonts w:hint="eastAsia"/>
          <w:highlight w:val="yellow"/>
          <w:lang w:val="en-US" w:eastAsia="zh-CN"/>
        </w:rPr>
        <w:t>5</w:t>
      </w:r>
      <w:r>
        <w:rPr>
          <w:rFonts w:hint="eastAsia"/>
          <w:highlight w:val="yellow"/>
        </w:rPr>
        <w:t>年</w:t>
      </w:r>
      <w:r>
        <w:rPr>
          <w:highlight w:val="none"/>
        </w:rPr>
        <w:t xml:space="preserve"> </w:t>
      </w:r>
    </w:p>
    <w:p w14:paraId="6192A8F1">
      <w:pPr>
        <w:ind w:firstLine="480"/>
        <w:rPr>
          <w:rFonts w:ascii="宋体" w:hAnsi="宋体" w:cs="宋体"/>
          <w:snapToGrid w:val="0"/>
          <w:highlight w:val="none"/>
        </w:rPr>
      </w:pPr>
      <w:r>
        <w:rPr>
          <w:rFonts w:hint="eastAsia"/>
          <w:highlight w:val="none"/>
        </w:rPr>
        <w:t>（</w:t>
      </w:r>
      <w:r>
        <w:rPr>
          <w:highlight w:val="none"/>
        </w:rPr>
        <w:t>2</w:t>
      </w:r>
      <w:r>
        <w:rPr>
          <w:rFonts w:hint="eastAsia"/>
          <w:highlight w:val="none"/>
        </w:rPr>
        <w:t>）</w:t>
      </w:r>
      <w:r>
        <w:rPr>
          <w:rFonts w:hint="eastAsia" w:ascii="宋体" w:hAnsi="宋体" w:cs="宋体"/>
          <w:snapToGrid w:val="0"/>
          <w:highlight w:val="none"/>
        </w:rPr>
        <w:t>雨水管道流量计算公式</w:t>
      </w:r>
    </w:p>
    <w:p w14:paraId="52680A8E">
      <w:pPr>
        <w:ind w:firstLine="480"/>
        <w:rPr>
          <w:highlight w:val="none"/>
        </w:rPr>
      </w:pPr>
      <w:r>
        <w:rPr>
          <w:rFonts w:hint="eastAsia"/>
          <w:highlight w:val="none"/>
        </w:rPr>
        <w:t>雨水</w:t>
      </w:r>
      <w:r>
        <w:rPr>
          <w:rFonts w:hint="eastAsia" w:ascii="宋体" w:hAnsi="宋体" w:cs="宋体"/>
          <w:snapToGrid w:val="0"/>
          <w:highlight w:val="none"/>
        </w:rPr>
        <w:t>设计流量按照以下公式进行计算</w:t>
      </w:r>
      <w:r>
        <w:rPr>
          <w:rFonts w:hint="eastAsia"/>
          <w:highlight w:val="none"/>
        </w:rPr>
        <w:t>：</w:t>
      </w:r>
    </w:p>
    <w:p w14:paraId="7C69BDBA">
      <w:pPr>
        <w:ind w:firstLine="480"/>
        <w:jc w:val="center"/>
        <w:rPr>
          <w:highlight w:val="none"/>
        </w:rPr>
      </w:pPr>
      <w:r>
        <w:rPr>
          <w:highlight w:val="none"/>
        </w:rPr>
        <w:t>Q=q</w:t>
      </w:r>
      <w:r>
        <w:rPr>
          <w:rFonts w:hint="eastAsia"/>
          <w:highlight w:val="none"/>
        </w:rPr>
        <w:t>·</w:t>
      </w:r>
      <w:r>
        <w:rPr>
          <w:highlight w:val="none"/>
        </w:rPr>
        <w:t>F</w:t>
      </w:r>
      <w:r>
        <w:rPr>
          <w:rFonts w:hint="eastAsia"/>
          <w:highlight w:val="none"/>
        </w:rPr>
        <w:t>·Ψ</w:t>
      </w:r>
    </w:p>
    <w:p w14:paraId="7FA08818">
      <w:pPr>
        <w:ind w:firstLine="480"/>
        <w:rPr>
          <w:highlight w:val="none"/>
        </w:rPr>
      </w:pPr>
      <w:r>
        <w:rPr>
          <w:rFonts w:hint="eastAsia"/>
          <w:highlight w:val="none"/>
        </w:rPr>
        <w:t>式中：</w:t>
      </w:r>
      <w:r>
        <w:rPr>
          <w:highlight w:val="none"/>
        </w:rPr>
        <w:t>Q</w:t>
      </w:r>
      <w:r>
        <w:rPr>
          <w:rFonts w:hint="eastAsia"/>
          <w:highlight w:val="none"/>
        </w:rPr>
        <w:t>——雨水设计流量（</w:t>
      </w:r>
      <w:r>
        <w:rPr>
          <w:highlight w:val="none"/>
        </w:rPr>
        <w:t>L/s</w:t>
      </w:r>
      <w:r>
        <w:rPr>
          <w:rFonts w:hint="eastAsia"/>
          <w:highlight w:val="none"/>
        </w:rPr>
        <w:t>）；</w:t>
      </w:r>
    </w:p>
    <w:p w14:paraId="4C9206EA">
      <w:pPr>
        <w:ind w:firstLine="1274" w:firstLineChars="531"/>
        <w:rPr>
          <w:highlight w:val="none"/>
        </w:rPr>
      </w:pPr>
      <w:r>
        <w:rPr>
          <w:highlight w:val="none"/>
        </w:rPr>
        <w:t>q</w:t>
      </w:r>
      <w:r>
        <w:rPr>
          <w:rFonts w:hint="eastAsia"/>
          <w:highlight w:val="none"/>
        </w:rPr>
        <w:t>——设计暴雨强度（</w:t>
      </w:r>
      <w:r>
        <w:rPr>
          <w:highlight w:val="none"/>
        </w:rPr>
        <w:t>L/s</w:t>
      </w:r>
      <w:r>
        <w:rPr>
          <w:rFonts w:hint="eastAsia"/>
          <w:highlight w:val="none"/>
        </w:rPr>
        <w:t>·</w:t>
      </w:r>
      <w:r>
        <w:rPr>
          <w:highlight w:val="none"/>
        </w:rPr>
        <w:t>hm</w:t>
      </w:r>
      <w:r>
        <w:rPr>
          <w:highlight w:val="none"/>
          <w:vertAlign w:val="superscript"/>
        </w:rPr>
        <w:t>2</w:t>
      </w:r>
      <w:r>
        <w:rPr>
          <w:rFonts w:hint="eastAsia"/>
          <w:highlight w:val="none"/>
        </w:rPr>
        <w:t>）；</w:t>
      </w:r>
    </w:p>
    <w:p w14:paraId="19202523">
      <w:pPr>
        <w:ind w:firstLine="1274" w:firstLineChars="531"/>
        <w:rPr>
          <w:highlight w:val="none"/>
        </w:rPr>
      </w:pPr>
      <w:r>
        <w:rPr>
          <w:highlight w:val="none"/>
        </w:rPr>
        <w:t>F</w:t>
      </w:r>
      <w:r>
        <w:rPr>
          <w:rFonts w:hint="eastAsia"/>
          <w:highlight w:val="none"/>
        </w:rPr>
        <w:t>——汇水面积（</w:t>
      </w:r>
      <w:r>
        <w:rPr>
          <w:highlight w:val="none"/>
        </w:rPr>
        <w:t>hm</w:t>
      </w:r>
      <w:r>
        <w:rPr>
          <w:highlight w:val="none"/>
          <w:vertAlign w:val="superscript"/>
        </w:rPr>
        <w:t>2</w:t>
      </w:r>
      <w:r>
        <w:rPr>
          <w:rFonts w:hint="eastAsia"/>
          <w:highlight w:val="none"/>
        </w:rPr>
        <w:t>）；</w:t>
      </w:r>
    </w:p>
    <w:p w14:paraId="013D794C">
      <w:pPr>
        <w:ind w:firstLine="1274" w:firstLineChars="531"/>
        <w:rPr>
          <w:highlight w:val="none"/>
        </w:rPr>
      </w:pPr>
      <w:r>
        <w:rPr>
          <w:rFonts w:hint="eastAsia"/>
          <w:highlight w:val="none"/>
        </w:rPr>
        <w:t>Ψ——综合径流系数，综合径流系数采用地面径流系数加权平均计算。</w:t>
      </w:r>
    </w:p>
    <w:p w14:paraId="2E631A53">
      <w:pPr>
        <w:ind w:firstLine="480"/>
        <w:rPr>
          <w:snapToGrid w:val="0"/>
          <w:highlight w:val="none"/>
        </w:rPr>
      </w:pPr>
      <w:r>
        <w:rPr>
          <w:rFonts w:hint="eastAsia"/>
          <w:snapToGrid w:val="0"/>
          <w:highlight w:val="none"/>
        </w:rPr>
        <w:t>（3）雨水设计参数</w:t>
      </w:r>
    </w:p>
    <w:p w14:paraId="2AF5A118">
      <w:pPr>
        <w:ind w:firstLine="480"/>
        <w:rPr>
          <w:snapToGrid w:val="0"/>
          <w:highlight w:val="none"/>
        </w:rPr>
      </w:pPr>
      <w:r>
        <w:rPr>
          <w:rFonts w:hint="eastAsia"/>
          <w:snapToGrid w:val="0"/>
          <w:highlight w:val="none"/>
        </w:rPr>
        <w:t>1）设计重现期P</w:t>
      </w:r>
    </w:p>
    <w:p w14:paraId="2C31EAE0">
      <w:pPr>
        <w:ind w:firstLine="480"/>
        <w:rPr>
          <w:snapToGrid w:val="0"/>
          <w:highlight w:val="none"/>
        </w:rPr>
      </w:pPr>
      <w:r>
        <w:rPr>
          <w:rFonts w:hint="eastAsia"/>
          <w:snapToGrid w:val="0"/>
          <w:highlight w:val="none"/>
        </w:rPr>
        <w:t>本次设计雨水重现期取：</w:t>
      </w:r>
      <w:r>
        <w:rPr>
          <w:rFonts w:hint="eastAsia"/>
          <w:snapToGrid w:val="0"/>
          <w:highlight w:val="yellow"/>
        </w:rPr>
        <w:t>P=</w:t>
      </w:r>
      <w:r>
        <w:rPr>
          <w:rFonts w:hint="eastAsia"/>
          <w:snapToGrid w:val="0"/>
          <w:highlight w:val="yellow"/>
          <w:lang w:val="en-US" w:eastAsia="zh-CN"/>
        </w:rPr>
        <w:t>5</w:t>
      </w:r>
      <w:r>
        <w:rPr>
          <w:rFonts w:hint="eastAsia"/>
          <w:snapToGrid w:val="0"/>
          <w:highlight w:val="yellow"/>
        </w:rPr>
        <w:t>年</w:t>
      </w:r>
      <w:r>
        <w:rPr>
          <w:rFonts w:hint="eastAsia"/>
          <w:snapToGrid w:val="0"/>
          <w:highlight w:val="none"/>
        </w:rPr>
        <w:t>。</w:t>
      </w:r>
    </w:p>
    <w:p w14:paraId="120C6AB5">
      <w:pPr>
        <w:ind w:firstLine="480"/>
        <w:rPr>
          <w:snapToGrid w:val="0"/>
          <w:highlight w:val="none"/>
        </w:rPr>
      </w:pPr>
      <w:r>
        <w:rPr>
          <w:rFonts w:hint="eastAsia"/>
          <w:snapToGrid w:val="0"/>
          <w:highlight w:val="none"/>
        </w:rPr>
        <w:t>2）降雨历时t</w:t>
      </w:r>
    </w:p>
    <w:p w14:paraId="01665CFD">
      <w:pPr>
        <w:ind w:firstLine="480"/>
        <w:rPr>
          <w:snapToGrid w:val="0"/>
          <w:highlight w:val="none"/>
        </w:rPr>
      </w:pPr>
      <w:r>
        <w:rPr>
          <w:rFonts w:hint="eastAsia"/>
          <w:snapToGrid w:val="0"/>
          <w:highlight w:val="none"/>
        </w:rPr>
        <w:t>本工程降雨历时取</w:t>
      </w:r>
      <w:r>
        <w:rPr>
          <w:snapToGrid w:val="0"/>
          <w:highlight w:val="none"/>
        </w:rPr>
        <w:t>10</w:t>
      </w:r>
      <w:r>
        <w:rPr>
          <w:rFonts w:hint="eastAsia"/>
          <w:snapToGrid w:val="0"/>
          <w:highlight w:val="none"/>
        </w:rPr>
        <w:t>～</w:t>
      </w:r>
      <w:r>
        <w:rPr>
          <w:snapToGrid w:val="0"/>
          <w:highlight w:val="none"/>
        </w:rPr>
        <w:t>15</w:t>
      </w:r>
      <w:r>
        <w:rPr>
          <w:rFonts w:hint="eastAsia"/>
          <w:snapToGrid w:val="0"/>
          <w:highlight w:val="none"/>
        </w:rPr>
        <w:t>分钟。</w:t>
      </w:r>
    </w:p>
    <w:p w14:paraId="4F0A0CB8">
      <w:pPr>
        <w:ind w:firstLine="480"/>
        <w:rPr>
          <w:snapToGrid w:val="0"/>
          <w:highlight w:val="none"/>
        </w:rPr>
      </w:pPr>
      <w:r>
        <w:rPr>
          <w:rFonts w:hint="eastAsia"/>
          <w:snapToGrid w:val="0"/>
          <w:highlight w:val="none"/>
        </w:rPr>
        <w:t>3）综合径流系数ψ</w:t>
      </w:r>
    </w:p>
    <w:p w14:paraId="4F96D6E2">
      <w:pPr>
        <w:ind w:firstLine="600" w:firstLineChars="250"/>
        <w:rPr>
          <w:snapToGrid w:val="0"/>
          <w:highlight w:val="none"/>
        </w:rPr>
      </w:pPr>
      <w:r>
        <w:rPr>
          <w:rFonts w:hint="eastAsia"/>
          <w:snapToGrid w:val="0"/>
          <w:highlight w:val="none"/>
        </w:rPr>
        <w:t>综合径流系数按各类地面面积用加权平均法计算而来：</w:t>
      </w:r>
    </w:p>
    <w:p w14:paraId="68BE763D">
      <w:pPr>
        <w:ind w:firstLine="600" w:firstLineChars="250"/>
        <w:jc w:val="center"/>
        <w:rPr>
          <w:snapToGrid w:val="0"/>
          <w:highlight w:val="none"/>
        </w:rPr>
      </w:pPr>
      <m:oMathPara>
        <m:oMath>
          <m:r>
            <m:rPr>
              <m:sty m:val="p"/>
            </m:rPr>
            <w:rPr>
              <w:rFonts w:hint="eastAsia" w:ascii="Cambria Math" w:hAnsi="Cambria Math"/>
              <w:snapToGrid w:val="0"/>
              <w:highlight w:val="none"/>
            </w:rPr>
            <m:t>ψ</m:t>
          </m:r>
          <m:r>
            <m:rPr>
              <m:sty m:val="p"/>
            </m:rPr>
            <w:rPr>
              <w:rFonts w:ascii="Cambria Math" w:hAnsi="Cambria Math"/>
              <w:highlight w:val="none"/>
            </w:rPr>
            <m:t>=</m:t>
          </m:r>
          <m:f>
            <m:fPr>
              <m:ctrlPr>
                <w:rPr>
                  <w:rFonts w:ascii="Cambria Math" w:hAnsi="Cambria Math"/>
                  <w:highlight w:val="none"/>
                </w:rPr>
              </m:ctrlPr>
            </m:fPr>
            <m:num>
              <m:r>
                <m:rPr>
                  <m:sty m:val="p"/>
                </m:rPr>
                <w:rPr>
                  <w:rFonts w:ascii="Cambria Math" w:hAnsi="Cambria Math" w:cs="Arial"/>
                  <w:color w:val="333333"/>
                  <w:sz w:val="21"/>
                  <w:szCs w:val="21"/>
                  <w:highlight w:val="none"/>
                  <w:shd w:val="clear" w:color="auto" w:fill="FFFFFF"/>
                </w:rPr>
                <m:t>∑ </m:t>
              </m:r>
              <m:r>
                <m:rPr>
                  <m:sty m:val="p"/>
                </m:rPr>
                <w:rPr>
                  <w:rFonts w:hint="eastAsia" w:ascii="Cambria Math" w:hAnsi="Cambria Math" w:cs="Arial"/>
                  <w:color w:val="333333"/>
                  <w:sz w:val="21"/>
                  <w:szCs w:val="21"/>
                  <w:highlight w:val="none"/>
                  <w:shd w:val="clear" w:color="auto" w:fill="FFFFFF"/>
                </w:rPr>
                <m:t>Fi·</m:t>
              </m:r>
              <m:r>
                <m:rPr>
                  <m:sty m:val="p"/>
                </m:rPr>
                <w:rPr>
                  <w:rFonts w:hint="eastAsia" w:ascii="Cambria Math" w:hAnsi="Cambria Math"/>
                  <w:snapToGrid w:val="0"/>
                  <w:highlight w:val="none"/>
                </w:rPr>
                <m:t xml:space="preserve">ψi </m:t>
              </m:r>
              <m:ctrlPr>
                <w:rPr>
                  <w:rFonts w:ascii="Cambria Math" w:hAnsi="Cambria Math"/>
                  <w:highlight w:val="none"/>
                </w:rPr>
              </m:ctrlPr>
            </m:num>
            <m:den>
              <m:r>
                <m:rPr>
                  <m:sty m:val="p"/>
                </m:rPr>
                <w:rPr>
                  <w:rFonts w:hint="eastAsia" w:ascii="Cambria Math" w:hAnsi="Cambria Math"/>
                  <w:snapToGrid w:val="0"/>
                  <w:highlight w:val="none"/>
                </w:rPr>
                <m:t>F</m:t>
              </m:r>
              <m:ctrlPr>
                <w:rPr>
                  <w:rFonts w:ascii="Cambria Math" w:hAnsi="Cambria Math"/>
                  <w:highlight w:val="none"/>
                </w:rPr>
              </m:ctrlPr>
            </m:den>
          </m:f>
        </m:oMath>
      </m:oMathPara>
    </w:p>
    <w:p w14:paraId="6DCAEFB4">
      <w:pPr>
        <w:ind w:firstLine="420"/>
        <w:rPr>
          <w:rFonts w:ascii="Arial" w:hAnsi="Arial" w:cs="Arial"/>
          <w:color w:val="333333"/>
          <w:sz w:val="21"/>
          <w:szCs w:val="21"/>
          <w:highlight w:val="none"/>
          <w:shd w:val="clear" w:color="auto" w:fill="FFFFFF"/>
        </w:rPr>
      </w:pPr>
      <w:r>
        <w:rPr>
          <w:rFonts w:hint="eastAsia" w:ascii="Arial" w:hAnsi="Arial" w:cs="Arial"/>
          <w:color w:val="333333"/>
          <w:sz w:val="21"/>
          <w:szCs w:val="21"/>
          <w:highlight w:val="none"/>
          <w:shd w:val="clear" w:color="auto" w:fill="FFFFFF"/>
        </w:rPr>
        <w:t>Fi——汇水面积上各类地面的面积（ha）；</w:t>
      </w:r>
    </w:p>
    <w:p w14:paraId="1D5ABBA9">
      <w:pPr>
        <w:ind w:firstLine="480"/>
        <w:rPr>
          <w:snapToGrid w:val="0"/>
          <w:highlight w:val="none"/>
        </w:rPr>
      </w:pPr>
      <w:r>
        <w:rPr>
          <w:rFonts w:hint="eastAsia"/>
          <w:snapToGrid w:val="0"/>
          <w:highlight w:val="none"/>
        </w:rPr>
        <w:t>ψ</w:t>
      </w:r>
      <w:r>
        <w:rPr>
          <w:snapToGrid w:val="0"/>
          <w:highlight w:val="none"/>
        </w:rPr>
        <w:t>i</w:t>
      </w:r>
      <w:r>
        <w:rPr>
          <w:rFonts w:hint="eastAsia"/>
          <w:snapToGrid w:val="0"/>
          <w:highlight w:val="none"/>
        </w:rPr>
        <w:t>——相应于各类地面的径流系数；</w:t>
      </w:r>
    </w:p>
    <w:p w14:paraId="3CDE1232">
      <w:pPr>
        <w:ind w:firstLine="480"/>
        <w:rPr>
          <w:snapToGrid w:val="0"/>
          <w:highlight w:val="none"/>
        </w:rPr>
      </w:pPr>
      <w:r>
        <w:rPr>
          <w:rFonts w:hint="eastAsia"/>
          <w:snapToGrid w:val="0"/>
          <w:highlight w:val="none"/>
        </w:rPr>
        <w:t>F——全部汇水面积（ha）。</w:t>
      </w:r>
    </w:p>
    <w:p w14:paraId="1EF996A3">
      <w:pPr>
        <w:ind w:firstLine="480"/>
        <w:rPr>
          <w:snapToGrid w:val="0"/>
          <w:highlight w:val="none"/>
        </w:rPr>
      </w:pPr>
      <w:r>
        <w:rPr>
          <w:rFonts w:hint="eastAsia"/>
          <w:snapToGrid w:val="0"/>
          <w:highlight w:val="none"/>
        </w:rPr>
        <w:t>4）设计管段的流速、充满度</w:t>
      </w:r>
    </w:p>
    <w:p w14:paraId="6814AD99">
      <w:pPr>
        <w:ind w:firstLine="480"/>
        <w:rPr>
          <w:snapToGrid w:val="0"/>
          <w:highlight w:val="none"/>
        </w:rPr>
      </w:pPr>
      <w:r>
        <w:rPr>
          <w:rFonts w:hint="eastAsia"/>
          <w:snapToGrid w:val="0"/>
          <w:highlight w:val="none"/>
        </w:rPr>
        <w:t>雨水管径的最小流速Vmin=0.75m/s，最大流速Vma×=5m/s；</w:t>
      </w:r>
    </w:p>
    <w:p w14:paraId="7C54C43C">
      <w:pPr>
        <w:ind w:firstLine="480"/>
        <w:rPr>
          <w:rFonts w:hint="eastAsia"/>
          <w:snapToGrid w:val="0"/>
          <w:highlight w:val="none"/>
        </w:rPr>
      </w:pPr>
      <w:r>
        <w:rPr>
          <w:rFonts w:hint="eastAsia"/>
          <w:snapToGrid w:val="0"/>
          <w:highlight w:val="none"/>
        </w:rPr>
        <w:t>雨水管按满流计算，即h/D=1。</w:t>
      </w:r>
    </w:p>
    <w:p w14:paraId="16DA24C1">
      <w:pPr>
        <w:ind w:firstLine="480"/>
        <w:jc w:val="center"/>
        <w:rPr>
          <w:rFonts w:hint="eastAsia"/>
          <w:snapToGrid w:val="0"/>
          <w:highlight w:val="none"/>
          <w:lang w:val="en-US" w:eastAsia="zh-CN"/>
        </w:rPr>
      </w:pPr>
      <w:r>
        <w:rPr>
          <w:rFonts w:hint="eastAsia"/>
          <w:snapToGrid w:val="0"/>
          <w:highlight w:val="none"/>
          <w:lang w:val="en-US" w:eastAsia="zh-CN"/>
        </w:rPr>
        <w:t>雨水管道水力计算表</w:t>
      </w:r>
    </w:p>
    <w:tbl>
      <w:tblPr>
        <w:tblStyle w:val="20"/>
        <w:tblW w:w="5031" w:type="pct"/>
        <w:jc w:val="center"/>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Layout w:type="autofit"/>
        <w:tblCellMar>
          <w:top w:w="0" w:type="dxa"/>
          <w:left w:w="0" w:type="dxa"/>
          <w:bottom w:w="0" w:type="dxa"/>
          <w:right w:w="0" w:type="dxa"/>
        </w:tblCellMar>
      </w:tblPr>
      <w:tblGrid>
        <w:gridCol w:w="2515"/>
        <w:gridCol w:w="1337"/>
        <w:gridCol w:w="1337"/>
        <w:gridCol w:w="1337"/>
        <w:gridCol w:w="1253"/>
        <w:gridCol w:w="1119"/>
        <w:gridCol w:w="1119"/>
      </w:tblGrid>
      <w:tr w14:paraId="003274E0">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55" w:type="pct"/>
            <w:shd w:val="clear" w:color="auto" w:fill="auto"/>
            <w:noWrap/>
            <w:tcMar>
              <w:top w:w="12" w:type="dxa"/>
              <w:left w:w="12" w:type="dxa"/>
              <w:right w:w="12" w:type="dxa"/>
            </w:tcMar>
            <w:vAlign w:val="center"/>
          </w:tcPr>
          <w:p w14:paraId="24EC3A32">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管段</w:t>
            </w:r>
          </w:p>
        </w:tc>
        <w:tc>
          <w:tcPr>
            <w:tcW w:w="667" w:type="pct"/>
            <w:shd w:val="clear" w:color="auto" w:fill="auto"/>
            <w:noWrap/>
            <w:tcMar>
              <w:top w:w="12" w:type="dxa"/>
              <w:left w:w="12" w:type="dxa"/>
              <w:right w:w="12" w:type="dxa"/>
            </w:tcMar>
            <w:vAlign w:val="center"/>
          </w:tcPr>
          <w:p w14:paraId="36250313">
            <w:pPr>
              <w:adjustRightInd w:val="0"/>
              <w:snapToGrid w:val="0"/>
              <w:spacing w:line="240" w:lineRule="auto"/>
              <w:ind w:firstLine="0" w:firstLineChars="0"/>
              <w:jc w:val="center"/>
              <w:rPr>
                <w:rFonts w:hint="eastAsia"/>
                <w:sz w:val="21"/>
                <w:szCs w:val="21"/>
                <w:highlight w:val="none"/>
                <w:lang w:val="en-US" w:eastAsia="zh-CN"/>
              </w:rPr>
            </w:pPr>
            <w:r>
              <w:rPr>
                <w:rFonts w:hint="eastAsia"/>
                <w:sz w:val="21"/>
                <w:szCs w:val="21"/>
                <w:highlight w:val="none"/>
                <w:lang w:val="en-US" w:eastAsia="zh-CN"/>
              </w:rPr>
              <w:t>汇水面积</w:t>
            </w:r>
          </w:p>
          <w:p w14:paraId="367A92C5">
            <w:pPr>
              <w:adjustRightInd w:val="0"/>
              <w:snapToGrid w:val="0"/>
              <w:spacing w:line="240" w:lineRule="auto"/>
              <w:ind w:firstLine="0" w:firstLineChars="0"/>
              <w:jc w:val="center"/>
              <w:rPr>
                <w:rFonts w:hint="default"/>
                <w:sz w:val="21"/>
                <w:szCs w:val="21"/>
                <w:highlight w:val="none"/>
                <w:lang w:val="en-US" w:eastAsia="zh-CN"/>
              </w:rPr>
            </w:pPr>
            <w:r>
              <w:rPr>
                <w:rFonts w:hint="eastAsia"/>
                <w:sz w:val="21"/>
                <w:szCs w:val="21"/>
                <w:highlight w:val="none"/>
                <w:lang w:val="en-US" w:eastAsia="zh-CN"/>
              </w:rPr>
              <w:t>公顷</w:t>
            </w:r>
          </w:p>
        </w:tc>
        <w:tc>
          <w:tcPr>
            <w:tcW w:w="667" w:type="pct"/>
            <w:shd w:val="clear" w:color="auto" w:fill="auto"/>
            <w:noWrap/>
            <w:tcMar>
              <w:top w:w="12" w:type="dxa"/>
              <w:left w:w="12" w:type="dxa"/>
              <w:right w:w="12" w:type="dxa"/>
            </w:tcMar>
            <w:vAlign w:val="center"/>
          </w:tcPr>
          <w:p w14:paraId="02A73FF8">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综合径流系数</w:t>
            </w:r>
          </w:p>
        </w:tc>
        <w:tc>
          <w:tcPr>
            <w:tcW w:w="667" w:type="pct"/>
            <w:shd w:val="clear" w:color="auto" w:fill="auto"/>
            <w:noWrap/>
            <w:tcMar>
              <w:top w:w="12" w:type="dxa"/>
              <w:left w:w="12" w:type="dxa"/>
              <w:right w:w="12" w:type="dxa"/>
            </w:tcMar>
            <w:vAlign w:val="center"/>
          </w:tcPr>
          <w:p w14:paraId="35813BDF">
            <w:pPr>
              <w:widowControl/>
              <w:adjustRightInd w:val="0"/>
              <w:snapToGrid w:val="0"/>
              <w:spacing w:line="240" w:lineRule="auto"/>
              <w:ind w:firstLine="0" w:firstLineChars="0"/>
              <w:jc w:val="center"/>
              <w:textAlignment w:val="bottom"/>
              <w:rPr>
                <w:rFonts w:hint="eastAsia" w:asciiTheme="majorEastAsia" w:hAnsiTheme="majorEastAsia" w:eastAsiaTheme="majorEastAsia" w:cstheme="majorEastAsia"/>
                <w:color w:val="000000"/>
                <w:sz w:val="21"/>
                <w:szCs w:val="21"/>
                <w:highlight w:val="none"/>
                <w:lang w:val="en-US" w:eastAsia="zh-CN"/>
              </w:rPr>
            </w:pPr>
            <w:r>
              <w:rPr>
                <w:rFonts w:hint="eastAsia" w:asciiTheme="majorEastAsia" w:hAnsiTheme="majorEastAsia" w:eastAsiaTheme="majorEastAsia" w:cstheme="majorEastAsia"/>
                <w:color w:val="000000"/>
                <w:sz w:val="21"/>
                <w:szCs w:val="21"/>
                <w:highlight w:val="none"/>
                <w:lang w:val="en-US" w:eastAsia="zh-CN"/>
              </w:rPr>
              <w:t>管径</w:t>
            </w:r>
          </w:p>
          <w:p w14:paraId="7F478594">
            <w:pPr>
              <w:widowControl/>
              <w:adjustRightInd w:val="0"/>
              <w:snapToGrid w:val="0"/>
              <w:spacing w:line="240" w:lineRule="auto"/>
              <w:ind w:firstLine="0" w:firstLineChars="0"/>
              <w:jc w:val="center"/>
              <w:textAlignment w:val="bottom"/>
              <w:rPr>
                <w:rFonts w:hint="default" w:asciiTheme="majorEastAsia" w:hAnsiTheme="majorEastAsia" w:eastAsiaTheme="majorEastAsia" w:cstheme="majorEastAsia"/>
                <w:color w:val="000000"/>
                <w:sz w:val="21"/>
                <w:szCs w:val="21"/>
                <w:highlight w:val="none"/>
                <w:lang w:val="en-US" w:eastAsia="zh-CN"/>
              </w:rPr>
            </w:pPr>
            <w:r>
              <w:rPr>
                <w:rFonts w:hint="eastAsia" w:asciiTheme="majorEastAsia" w:hAnsiTheme="majorEastAsia" w:eastAsiaTheme="majorEastAsia" w:cstheme="majorEastAsia"/>
                <w:color w:val="000000"/>
                <w:sz w:val="21"/>
                <w:szCs w:val="21"/>
                <w:highlight w:val="none"/>
                <w:lang w:val="en-US" w:eastAsia="zh-CN"/>
              </w:rPr>
              <w:t>mm</w:t>
            </w:r>
          </w:p>
        </w:tc>
        <w:tc>
          <w:tcPr>
            <w:tcW w:w="625" w:type="pct"/>
            <w:shd w:val="clear" w:color="auto" w:fill="auto"/>
            <w:noWrap/>
            <w:tcMar>
              <w:top w:w="12" w:type="dxa"/>
              <w:left w:w="12" w:type="dxa"/>
              <w:right w:w="12" w:type="dxa"/>
            </w:tcMar>
            <w:vAlign w:val="center"/>
          </w:tcPr>
          <w:p w14:paraId="3385C6FF">
            <w:pPr>
              <w:adjustRightInd w:val="0"/>
              <w:snapToGrid w:val="0"/>
              <w:spacing w:line="240" w:lineRule="auto"/>
              <w:ind w:firstLine="0" w:firstLineChars="0"/>
              <w:jc w:val="center"/>
              <w:rPr>
                <w:rFonts w:hint="eastAsia"/>
                <w:sz w:val="21"/>
                <w:szCs w:val="21"/>
                <w:highlight w:val="none"/>
                <w:lang w:val="en-US" w:eastAsia="zh-CN"/>
              </w:rPr>
            </w:pPr>
            <w:r>
              <w:rPr>
                <w:rFonts w:hint="eastAsia"/>
                <w:sz w:val="21"/>
                <w:szCs w:val="21"/>
                <w:highlight w:val="none"/>
                <w:lang w:val="en-US" w:eastAsia="zh-CN"/>
              </w:rPr>
              <w:t>坡度</w:t>
            </w:r>
          </w:p>
          <w:p w14:paraId="1315396C">
            <w:pPr>
              <w:adjustRightInd w:val="0"/>
              <w:snapToGrid w:val="0"/>
              <w:spacing w:line="240" w:lineRule="auto"/>
              <w:ind w:firstLine="0" w:firstLineChars="0"/>
              <w:jc w:val="center"/>
              <w:rPr>
                <w:rFonts w:hint="default"/>
                <w:sz w:val="21"/>
                <w:szCs w:val="21"/>
                <w:highlight w:val="none"/>
                <w:lang w:val="en-US" w:eastAsia="zh-CN"/>
              </w:rPr>
            </w:pPr>
            <w:r>
              <w:rPr>
                <w:rFonts w:hint="eastAsia"/>
                <w:sz w:val="21"/>
                <w:szCs w:val="21"/>
                <w:highlight w:val="none"/>
                <w:lang w:val="en-US" w:eastAsia="zh-CN"/>
              </w:rPr>
              <w:t>‰</w:t>
            </w:r>
          </w:p>
        </w:tc>
        <w:tc>
          <w:tcPr>
            <w:tcW w:w="558" w:type="pct"/>
            <w:shd w:val="clear" w:color="auto" w:fill="auto"/>
            <w:noWrap/>
            <w:tcMar>
              <w:top w:w="12" w:type="dxa"/>
              <w:left w:w="12" w:type="dxa"/>
              <w:right w:w="12" w:type="dxa"/>
            </w:tcMar>
            <w:vAlign w:val="center"/>
          </w:tcPr>
          <w:p w14:paraId="00CE668D">
            <w:pPr>
              <w:adjustRightInd w:val="0"/>
              <w:snapToGrid w:val="0"/>
              <w:spacing w:line="240" w:lineRule="auto"/>
              <w:ind w:firstLine="0" w:firstLineChars="0"/>
              <w:jc w:val="center"/>
              <w:rPr>
                <w:rFonts w:hint="eastAsia"/>
                <w:sz w:val="21"/>
                <w:szCs w:val="21"/>
                <w:highlight w:val="none"/>
                <w:lang w:val="en-US" w:eastAsia="zh-CN"/>
              </w:rPr>
            </w:pPr>
            <w:r>
              <w:rPr>
                <w:rFonts w:hint="eastAsia"/>
                <w:sz w:val="21"/>
                <w:szCs w:val="21"/>
                <w:highlight w:val="none"/>
                <w:lang w:val="en-US" w:eastAsia="zh-CN"/>
              </w:rPr>
              <w:t>管道过流能</w:t>
            </w:r>
          </w:p>
          <w:p w14:paraId="1AC2B88E">
            <w:pPr>
              <w:adjustRightInd w:val="0"/>
              <w:snapToGrid w:val="0"/>
              <w:spacing w:line="240" w:lineRule="auto"/>
              <w:ind w:firstLine="0" w:firstLineChars="0"/>
              <w:jc w:val="center"/>
              <w:rPr>
                <w:rFonts w:hint="default"/>
                <w:sz w:val="21"/>
                <w:szCs w:val="21"/>
                <w:highlight w:val="none"/>
                <w:lang w:val="en-US" w:eastAsia="zh-CN"/>
              </w:rPr>
            </w:pPr>
            <w:r>
              <w:rPr>
                <w:rFonts w:hint="eastAsia"/>
                <w:sz w:val="21"/>
                <w:szCs w:val="21"/>
                <w:highlight w:val="none"/>
                <w:lang w:val="en-US" w:eastAsia="zh-CN"/>
              </w:rPr>
              <w:t>m3/s</w:t>
            </w:r>
          </w:p>
        </w:tc>
        <w:tc>
          <w:tcPr>
            <w:tcW w:w="558" w:type="pct"/>
            <w:shd w:val="clear" w:color="auto" w:fill="auto"/>
            <w:noWrap/>
            <w:tcMar>
              <w:top w:w="12" w:type="dxa"/>
              <w:left w:w="12" w:type="dxa"/>
              <w:right w:w="12" w:type="dxa"/>
            </w:tcMar>
            <w:vAlign w:val="center"/>
          </w:tcPr>
          <w:p w14:paraId="235F5893">
            <w:pPr>
              <w:adjustRightInd w:val="0"/>
              <w:snapToGrid w:val="0"/>
              <w:spacing w:line="240" w:lineRule="auto"/>
              <w:ind w:firstLine="0" w:firstLineChars="0"/>
              <w:jc w:val="center"/>
              <w:rPr>
                <w:rFonts w:hint="eastAsia"/>
                <w:sz w:val="21"/>
                <w:szCs w:val="21"/>
                <w:highlight w:val="none"/>
                <w:lang w:val="en-US" w:eastAsia="zh-CN"/>
              </w:rPr>
            </w:pPr>
            <w:r>
              <w:rPr>
                <w:rFonts w:hint="eastAsia"/>
                <w:sz w:val="21"/>
                <w:szCs w:val="21"/>
                <w:highlight w:val="none"/>
                <w:lang w:val="en-US" w:eastAsia="zh-CN"/>
              </w:rPr>
              <w:t>设计流量</w:t>
            </w:r>
          </w:p>
          <w:p w14:paraId="5BA9CBC5">
            <w:pPr>
              <w:adjustRightInd w:val="0"/>
              <w:snapToGrid w:val="0"/>
              <w:spacing w:line="240" w:lineRule="auto"/>
              <w:ind w:firstLine="0" w:firstLineChars="0"/>
              <w:jc w:val="center"/>
              <w:rPr>
                <w:rFonts w:hint="default"/>
                <w:sz w:val="21"/>
                <w:szCs w:val="21"/>
                <w:highlight w:val="none"/>
                <w:lang w:val="en-US" w:eastAsia="zh-CN"/>
              </w:rPr>
            </w:pPr>
            <w:r>
              <w:rPr>
                <w:rFonts w:hint="default"/>
                <w:sz w:val="21"/>
                <w:szCs w:val="21"/>
                <w:highlight w:val="none"/>
                <w:lang w:val="en-US" w:eastAsia="zh-CN"/>
              </w:rPr>
              <w:t>m3/s</w:t>
            </w:r>
          </w:p>
        </w:tc>
      </w:tr>
      <w:tr w14:paraId="4B76F380">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55" w:type="pct"/>
            <w:shd w:val="clear" w:color="auto" w:fill="auto"/>
            <w:noWrap/>
            <w:tcMar>
              <w:top w:w="12" w:type="dxa"/>
              <w:left w:w="12" w:type="dxa"/>
              <w:right w:w="12" w:type="dxa"/>
            </w:tcMar>
            <w:vAlign w:val="center"/>
          </w:tcPr>
          <w:p w14:paraId="6BD0FC6F">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永安东路南测</w:t>
            </w:r>
          </w:p>
        </w:tc>
        <w:tc>
          <w:tcPr>
            <w:tcW w:w="667" w:type="pct"/>
            <w:shd w:val="clear" w:color="auto" w:fill="auto"/>
            <w:noWrap/>
            <w:tcMar>
              <w:top w:w="12" w:type="dxa"/>
              <w:left w:w="12" w:type="dxa"/>
              <w:right w:w="12" w:type="dxa"/>
            </w:tcMar>
            <w:vAlign w:val="center"/>
          </w:tcPr>
          <w:p w14:paraId="0A780978">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2.94</w:t>
            </w:r>
          </w:p>
        </w:tc>
        <w:tc>
          <w:tcPr>
            <w:tcW w:w="667" w:type="pct"/>
            <w:shd w:val="clear" w:color="auto" w:fill="auto"/>
            <w:noWrap/>
            <w:tcMar>
              <w:top w:w="12" w:type="dxa"/>
              <w:left w:w="12" w:type="dxa"/>
              <w:right w:w="12" w:type="dxa"/>
            </w:tcMar>
            <w:vAlign w:val="center"/>
          </w:tcPr>
          <w:p w14:paraId="6EB225BE">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0.48</w:t>
            </w:r>
          </w:p>
        </w:tc>
        <w:tc>
          <w:tcPr>
            <w:tcW w:w="667" w:type="pct"/>
            <w:shd w:val="clear" w:color="auto" w:fill="auto"/>
            <w:noWrap/>
            <w:tcMar>
              <w:top w:w="12" w:type="dxa"/>
              <w:left w:w="12" w:type="dxa"/>
              <w:right w:w="12" w:type="dxa"/>
            </w:tcMar>
            <w:vAlign w:val="center"/>
          </w:tcPr>
          <w:p w14:paraId="4C3F46F5">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800</w:t>
            </w:r>
          </w:p>
        </w:tc>
        <w:tc>
          <w:tcPr>
            <w:tcW w:w="625" w:type="pct"/>
            <w:shd w:val="clear" w:color="auto" w:fill="auto"/>
            <w:noWrap/>
            <w:tcMar>
              <w:top w:w="12" w:type="dxa"/>
              <w:left w:w="12" w:type="dxa"/>
              <w:right w:w="12" w:type="dxa"/>
            </w:tcMar>
            <w:vAlign w:val="center"/>
          </w:tcPr>
          <w:p w14:paraId="0D1848AE">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20</w:t>
            </w:r>
          </w:p>
        </w:tc>
        <w:tc>
          <w:tcPr>
            <w:tcW w:w="558" w:type="pct"/>
            <w:shd w:val="clear" w:color="auto" w:fill="auto"/>
            <w:noWrap/>
            <w:tcMar>
              <w:top w:w="12" w:type="dxa"/>
              <w:left w:w="12" w:type="dxa"/>
              <w:right w:w="12" w:type="dxa"/>
            </w:tcMar>
            <w:vAlign w:val="center"/>
          </w:tcPr>
          <w:p w14:paraId="13DB02A6">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1.870</w:t>
            </w:r>
          </w:p>
        </w:tc>
        <w:tc>
          <w:tcPr>
            <w:tcW w:w="558" w:type="pct"/>
            <w:shd w:val="clear" w:color="auto" w:fill="auto"/>
            <w:noWrap/>
            <w:tcMar>
              <w:top w:w="12" w:type="dxa"/>
              <w:left w:w="12" w:type="dxa"/>
              <w:right w:w="12" w:type="dxa"/>
            </w:tcMar>
            <w:vAlign w:val="center"/>
          </w:tcPr>
          <w:p w14:paraId="265E4A87">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0.680</w:t>
            </w:r>
          </w:p>
        </w:tc>
      </w:tr>
      <w:tr w14:paraId="57B88435">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87" w:hRule="atLeast"/>
          <w:jc w:val="center"/>
        </w:trPr>
        <w:tc>
          <w:tcPr>
            <w:tcW w:w="1255" w:type="pct"/>
            <w:shd w:val="clear" w:color="auto" w:fill="auto"/>
            <w:noWrap/>
            <w:tcMar>
              <w:top w:w="12" w:type="dxa"/>
              <w:left w:w="12" w:type="dxa"/>
              <w:right w:w="12" w:type="dxa"/>
            </w:tcMar>
            <w:vAlign w:val="center"/>
          </w:tcPr>
          <w:p w14:paraId="40B08E39">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永安东路北侧</w:t>
            </w:r>
          </w:p>
        </w:tc>
        <w:tc>
          <w:tcPr>
            <w:tcW w:w="667" w:type="pct"/>
            <w:shd w:val="clear" w:color="auto" w:fill="auto"/>
            <w:noWrap/>
            <w:tcMar>
              <w:top w:w="12" w:type="dxa"/>
              <w:left w:w="12" w:type="dxa"/>
              <w:right w:w="12" w:type="dxa"/>
            </w:tcMar>
            <w:vAlign w:val="center"/>
          </w:tcPr>
          <w:p w14:paraId="2BF05676">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2.47</w:t>
            </w:r>
          </w:p>
        </w:tc>
        <w:tc>
          <w:tcPr>
            <w:tcW w:w="667" w:type="pct"/>
            <w:shd w:val="clear" w:color="auto" w:fill="auto"/>
            <w:noWrap/>
            <w:tcMar>
              <w:top w:w="12" w:type="dxa"/>
              <w:left w:w="12" w:type="dxa"/>
              <w:right w:w="12" w:type="dxa"/>
            </w:tcMar>
            <w:vAlign w:val="center"/>
          </w:tcPr>
          <w:p w14:paraId="560407CF">
            <w:pPr>
              <w:adjustRightInd w:val="0"/>
              <w:snapToGrid w:val="0"/>
              <w:spacing w:line="240" w:lineRule="auto"/>
              <w:ind w:firstLine="0" w:firstLineChars="0"/>
              <w:jc w:val="center"/>
              <w:rPr>
                <w:rFonts w:hint="eastAsia"/>
                <w:sz w:val="21"/>
                <w:szCs w:val="21"/>
                <w:highlight w:val="none"/>
              </w:rPr>
            </w:pPr>
            <w:r>
              <w:rPr>
                <w:rFonts w:hint="eastAsia"/>
                <w:sz w:val="21"/>
                <w:szCs w:val="21"/>
                <w:highlight w:val="none"/>
                <w:lang w:val="en-US" w:eastAsia="zh-CN"/>
              </w:rPr>
              <w:t>0.48</w:t>
            </w:r>
          </w:p>
        </w:tc>
        <w:tc>
          <w:tcPr>
            <w:tcW w:w="667" w:type="pct"/>
            <w:shd w:val="clear" w:color="auto" w:fill="auto"/>
            <w:noWrap/>
            <w:tcMar>
              <w:top w:w="12" w:type="dxa"/>
              <w:left w:w="12" w:type="dxa"/>
              <w:right w:w="12" w:type="dxa"/>
            </w:tcMar>
            <w:vAlign w:val="center"/>
          </w:tcPr>
          <w:p w14:paraId="29484BD2">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800</w:t>
            </w:r>
          </w:p>
        </w:tc>
        <w:tc>
          <w:tcPr>
            <w:tcW w:w="625" w:type="pct"/>
            <w:shd w:val="clear" w:color="auto" w:fill="auto"/>
            <w:noWrap/>
            <w:tcMar>
              <w:top w:w="12" w:type="dxa"/>
              <w:left w:w="12" w:type="dxa"/>
              <w:right w:w="12" w:type="dxa"/>
            </w:tcMar>
            <w:vAlign w:val="center"/>
          </w:tcPr>
          <w:p w14:paraId="6B59476C">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20</w:t>
            </w:r>
          </w:p>
        </w:tc>
        <w:tc>
          <w:tcPr>
            <w:tcW w:w="558" w:type="pct"/>
            <w:shd w:val="clear" w:color="auto" w:fill="auto"/>
            <w:noWrap/>
            <w:tcMar>
              <w:top w:w="12" w:type="dxa"/>
              <w:left w:w="12" w:type="dxa"/>
              <w:right w:w="12" w:type="dxa"/>
            </w:tcMar>
            <w:vAlign w:val="center"/>
          </w:tcPr>
          <w:p w14:paraId="6AEBE3F0">
            <w:pPr>
              <w:widowControl/>
              <w:adjustRightInd w:val="0"/>
              <w:snapToGrid w:val="0"/>
              <w:spacing w:line="240" w:lineRule="auto"/>
              <w:ind w:firstLine="0" w:firstLineChars="0"/>
              <w:jc w:val="center"/>
              <w:textAlignment w:val="bottom"/>
              <w:rPr>
                <w:rFonts w:eastAsiaTheme="majorEastAsia"/>
                <w:sz w:val="21"/>
                <w:szCs w:val="21"/>
                <w:highlight w:val="none"/>
              </w:rPr>
            </w:pPr>
            <w:r>
              <w:rPr>
                <w:rFonts w:hint="eastAsia" w:eastAsiaTheme="majorEastAsia"/>
                <w:sz w:val="21"/>
                <w:szCs w:val="21"/>
                <w:highlight w:val="none"/>
                <w:lang w:val="en-US" w:eastAsia="zh-CN"/>
              </w:rPr>
              <w:t>1.870</w:t>
            </w:r>
          </w:p>
        </w:tc>
        <w:tc>
          <w:tcPr>
            <w:tcW w:w="558" w:type="pct"/>
            <w:shd w:val="clear" w:color="auto" w:fill="auto"/>
            <w:noWrap/>
            <w:tcMar>
              <w:top w:w="12" w:type="dxa"/>
              <w:left w:w="12" w:type="dxa"/>
              <w:right w:w="12" w:type="dxa"/>
            </w:tcMar>
            <w:vAlign w:val="center"/>
          </w:tcPr>
          <w:p w14:paraId="513062F7">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0.571</w:t>
            </w:r>
          </w:p>
        </w:tc>
      </w:tr>
      <w:tr w14:paraId="6FBD87E0">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88" w:hRule="atLeast"/>
          <w:jc w:val="center"/>
        </w:trPr>
        <w:tc>
          <w:tcPr>
            <w:tcW w:w="1255" w:type="pct"/>
            <w:shd w:val="clear" w:color="auto" w:fill="auto"/>
            <w:noWrap/>
            <w:tcMar>
              <w:top w:w="12" w:type="dxa"/>
              <w:left w:w="12" w:type="dxa"/>
              <w:right w:w="12" w:type="dxa"/>
            </w:tcMar>
            <w:vAlign w:val="center"/>
          </w:tcPr>
          <w:p w14:paraId="146D9005">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永安东路两侧汇集</w:t>
            </w:r>
          </w:p>
        </w:tc>
        <w:tc>
          <w:tcPr>
            <w:tcW w:w="667" w:type="pct"/>
            <w:shd w:val="clear" w:color="auto" w:fill="auto"/>
            <w:noWrap/>
            <w:tcMar>
              <w:top w:w="12" w:type="dxa"/>
              <w:left w:w="12" w:type="dxa"/>
              <w:right w:w="12" w:type="dxa"/>
            </w:tcMar>
            <w:vAlign w:val="center"/>
          </w:tcPr>
          <w:p w14:paraId="6DD2B8D2">
            <w:pPr>
              <w:adjustRightInd w:val="0"/>
              <w:snapToGrid w:val="0"/>
              <w:spacing w:line="240" w:lineRule="auto"/>
              <w:ind w:firstLine="0" w:firstLineChars="0"/>
              <w:jc w:val="center"/>
              <w:rPr>
                <w:rFonts w:hint="default" w:eastAsia="宋体"/>
                <w:sz w:val="21"/>
                <w:szCs w:val="21"/>
                <w:highlight w:val="none"/>
                <w:lang w:val="en-US" w:eastAsia="zh-CN"/>
              </w:rPr>
            </w:pPr>
            <w:r>
              <w:rPr>
                <w:rFonts w:hint="eastAsia"/>
                <w:sz w:val="21"/>
                <w:szCs w:val="21"/>
                <w:highlight w:val="none"/>
                <w:lang w:val="en-US" w:eastAsia="zh-CN"/>
              </w:rPr>
              <w:t>5.41</w:t>
            </w:r>
          </w:p>
        </w:tc>
        <w:tc>
          <w:tcPr>
            <w:tcW w:w="667" w:type="pct"/>
            <w:shd w:val="clear" w:color="auto" w:fill="auto"/>
            <w:noWrap/>
            <w:tcMar>
              <w:top w:w="12" w:type="dxa"/>
              <w:left w:w="12" w:type="dxa"/>
              <w:right w:w="12" w:type="dxa"/>
            </w:tcMar>
            <w:vAlign w:val="center"/>
          </w:tcPr>
          <w:p w14:paraId="0C690698">
            <w:pPr>
              <w:adjustRightInd w:val="0"/>
              <w:snapToGrid w:val="0"/>
              <w:spacing w:line="240" w:lineRule="auto"/>
              <w:ind w:firstLine="0" w:firstLineChars="0"/>
              <w:jc w:val="center"/>
              <w:rPr>
                <w:rFonts w:hint="eastAsia"/>
                <w:sz w:val="21"/>
                <w:szCs w:val="21"/>
                <w:highlight w:val="none"/>
              </w:rPr>
            </w:pPr>
            <w:r>
              <w:rPr>
                <w:rFonts w:hint="eastAsia"/>
                <w:sz w:val="21"/>
                <w:szCs w:val="21"/>
                <w:highlight w:val="none"/>
                <w:lang w:val="en-US" w:eastAsia="zh-CN"/>
              </w:rPr>
              <w:t>0.48</w:t>
            </w:r>
          </w:p>
        </w:tc>
        <w:tc>
          <w:tcPr>
            <w:tcW w:w="667" w:type="pct"/>
            <w:shd w:val="clear" w:color="auto" w:fill="auto"/>
            <w:noWrap/>
            <w:tcMar>
              <w:top w:w="12" w:type="dxa"/>
              <w:left w:w="12" w:type="dxa"/>
              <w:right w:w="12" w:type="dxa"/>
            </w:tcMar>
            <w:vAlign w:val="center"/>
          </w:tcPr>
          <w:p w14:paraId="1B03C32D">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1000</w:t>
            </w:r>
          </w:p>
        </w:tc>
        <w:tc>
          <w:tcPr>
            <w:tcW w:w="625" w:type="pct"/>
            <w:shd w:val="clear" w:color="auto" w:fill="auto"/>
            <w:noWrap/>
            <w:tcMar>
              <w:top w:w="12" w:type="dxa"/>
              <w:left w:w="12" w:type="dxa"/>
              <w:right w:w="12" w:type="dxa"/>
            </w:tcMar>
            <w:vAlign w:val="center"/>
          </w:tcPr>
          <w:p w14:paraId="6FEB358A">
            <w:pPr>
              <w:widowControl/>
              <w:adjustRightInd w:val="0"/>
              <w:snapToGrid w:val="0"/>
              <w:spacing w:line="240" w:lineRule="auto"/>
              <w:ind w:firstLine="0" w:firstLineChars="0"/>
              <w:jc w:val="center"/>
              <w:textAlignment w:val="bottom"/>
              <w:rPr>
                <w:rFonts w:hint="eastAsia" w:eastAsiaTheme="majorEastAsia"/>
                <w:sz w:val="21"/>
                <w:szCs w:val="21"/>
                <w:highlight w:val="none"/>
                <w:lang w:val="en-US" w:eastAsia="zh-CN"/>
              </w:rPr>
            </w:pPr>
            <w:r>
              <w:rPr>
                <w:rFonts w:hint="eastAsia" w:eastAsiaTheme="majorEastAsia"/>
                <w:sz w:val="21"/>
                <w:szCs w:val="21"/>
                <w:highlight w:val="none"/>
                <w:lang w:val="en-US" w:eastAsia="zh-CN"/>
              </w:rPr>
              <w:t>3</w:t>
            </w:r>
          </w:p>
        </w:tc>
        <w:tc>
          <w:tcPr>
            <w:tcW w:w="558" w:type="pct"/>
            <w:shd w:val="clear" w:color="auto" w:fill="auto"/>
            <w:noWrap/>
            <w:tcMar>
              <w:top w:w="12" w:type="dxa"/>
              <w:left w:w="12" w:type="dxa"/>
              <w:right w:w="12" w:type="dxa"/>
            </w:tcMar>
            <w:vAlign w:val="center"/>
          </w:tcPr>
          <w:p w14:paraId="227E1B95">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1.313</w:t>
            </w:r>
          </w:p>
        </w:tc>
        <w:tc>
          <w:tcPr>
            <w:tcW w:w="558" w:type="pct"/>
            <w:shd w:val="clear" w:color="auto" w:fill="auto"/>
            <w:noWrap/>
            <w:tcMar>
              <w:top w:w="12" w:type="dxa"/>
              <w:left w:w="12" w:type="dxa"/>
              <w:right w:w="12" w:type="dxa"/>
            </w:tcMar>
            <w:vAlign w:val="center"/>
          </w:tcPr>
          <w:p w14:paraId="23DD7C06">
            <w:pPr>
              <w:widowControl/>
              <w:adjustRightInd w:val="0"/>
              <w:snapToGrid w:val="0"/>
              <w:spacing w:line="240" w:lineRule="auto"/>
              <w:ind w:firstLine="0" w:firstLineChars="0"/>
              <w:jc w:val="center"/>
              <w:textAlignment w:val="bottom"/>
              <w:rPr>
                <w:rFonts w:hint="default" w:eastAsiaTheme="majorEastAsia"/>
                <w:sz w:val="21"/>
                <w:szCs w:val="21"/>
                <w:highlight w:val="none"/>
                <w:lang w:val="en-US" w:eastAsia="zh-CN"/>
              </w:rPr>
            </w:pPr>
            <w:r>
              <w:rPr>
                <w:rFonts w:hint="eastAsia" w:eastAsiaTheme="majorEastAsia"/>
                <w:sz w:val="21"/>
                <w:szCs w:val="21"/>
                <w:highlight w:val="none"/>
                <w:lang w:val="en-US" w:eastAsia="zh-CN"/>
              </w:rPr>
              <w:t>1.218</w:t>
            </w:r>
          </w:p>
        </w:tc>
      </w:tr>
    </w:tbl>
    <w:p w14:paraId="4BEA7A4E">
      <w:pPr>
        <w:ind w:firstLine="480"/>
        <w:jc w:val="center"/>
        <w:rPr>
          <w:rFonts w:hint="default"/>
          <w:snapToGrid w:val="0"/>
          <w:highlight w:val="none"/>
          <w:lang w:val="en-US" w:eastAsia="zh-CN"/>
        </w:rPr>
      </w:pPr>
    </w:p>
    <w:p w14:paraId="5AF92316">
      <w:pPr>
        <w:ind w:firstLine="480"/>
        <w:rPr>
          <w:snapToGrid w:val="0"/>
          <w:highlight w:val="none"/>
        </w:rPr>
      </w:pPr>
      <w:r>
        <w:rPr>
          <w:rFonts w:hint="eastAsia"/>
          <w:snapToGrid w:val="0"/>
          <w:highlight w:val="none"/>
        </w:rPr>
        <w:t>5）雨水管道一般采用管顶平接，特殊情况采用管中接。</w:t>
      </w:r>
    </w:p>
    <w:p w14:paraId="22C3F569">
      <w:pPr>
        <w:ind w:firstLine="480"/>
        <w:rPr>
          <w:snapToGrid w:val="0"/>
          <w:highlight w:val="none"/>
        </w:rPr>
      </w:pPr>
      <w:r>
        <w:rPr>
          <w:rFonts w:hint="eastAsia"/>
          <w:snapToGrid w:val="0"/>
          <w:highlight w:val="none"/>
        </w:rPr>
        <w:t>6）建设前后径流量对比：</w:t>
      </w:r>
    </w:p>
    <w:p w14:paraId="52AA7EA2">
      <w:pPr>
        <w:ind w:firstLine="480"/>
        <w:rPr>
          <w:snapToGrid w:val="0"/>
          <w:highlight w:val="none"/>
        </w:rPr>
      </w:pPr>
      <w:r>
        <w:rPr>
          <w:rFonts w:hint="eastAsia"/>
          <w:snapToGrid w:val="0"/>
          <w:highlight w:val="none"/>
        </w:rPr>
        <w:t>①项目建设前综合雨量径流系数</w:t>
      </w:r>
    </w:p>
    <w:p w14:paraId="0651A06A">
      <w:pPr>
        <w:ind w:firstLine="480"/>
        <w:rPr>
          <w:snapToGrid w:val="0"/>
          <w:highlight w:val="none"/>
        </w:rPr>
      </w:pPr>
      <w:r>
        <w:rPr>
          <w:rFonts w:hint="eastAsia"/>
          <w:snapToGrid w:val="0"/>
          <w:highlight w:val="none"/>
        </w:rPr>
        <w:t>本项目现状为山地，径流系数取值0.3。</w:t>
      </w:r>
    </w:p>
    <w:p w14:paraId="0483AA60">
      <w:pPr>
        <w:ind w:firstLine="480"/>
        <w:rPr>
          <w:snapToGrid w:val="0"/>
          <w:highlight w:val="none"/>
        </w:rPr>
      </w:pPr>
      <w:r>
        <w:rPr>
          <w:rFonts w:hint="eastAsia"/>
          <w:snapToGrid w:val="0"/>
          <w:highlight w:val="none"/>
        </w:rPr>
        <w:t>②项目建设后综合雨量径流系数</w:t>
      </w:r>
    </w:p>
    <w:tbl>
      <w:tblPr>
        <w:tblStyle w:val="20"/>
        <w:tblW w:w="9180" w:type="dxa"/>
        <w:jc w:val="center"/>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Layout w:type="fixed"/>
        <w:tblCellMar>
          <w:top w:w="0" w:type="dxa"/>
          <w:left w:w="0" w:type="dxa"/>
          <w:bottom w:w="0" w:type="dxa"/>
          <w:right w:w="0" w:type="dxa"/>
        </w:tblCellMar>
      </w:tblPr>
      <w:tblGrid>
        <w:gridCol w:w="3108"/>
        <w:gridCol w:w="1656"/>
        <w:gridCol w:w="1549"/>
        <w:gridCol w:w="1387"/>
        <w:gridCol w:w="1480"/>
      </w:tblGrid>
      <w:tr w14:paraId="2357F1C8">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108" w:type="dxa"/>
            <w:shd w:val="clear" w:color="auto" w:fill="auto"/>
            <w:noWrap/>
            <w:tcMar>
              <w:top w:w="12" w:type="dxa"/>
              <w:left w:w="12" w:type="dxa"/>
              <w:right w:w="12" w:type="dxa"/>
            </w:tcMar>
            <w:vAlign w:val="center"/>
          </w:tcPr>
          <w:p w14:paraId="704AFF08">
            <w:pPr>
              <w:adjustRightInd w:val="0"/>
              <w:snapToGrid w:val="0"/>
              <w:spacing w:line="240" w:lineRule="auto"/>
              <w:ind w:firstLine="0" w:firstLineChars="0"/>
              <w:jc w:val="center"/>
              <w:rPr>
                <w:sz w:val="21"/>
                <w:szCs w:val="21"/>
                <w:highlight w:val="none"/>
              </w:rPr>
            </w:pPr>
            <w:r>
              <w:rPr>
                <w:rFonts w:hint="eastAsia"/>
                <w:sz w:val="21"/>
                <w:szCs w:val="21"/>
                <w:highlight w:val="none"/>
              </w:rPr>
              <w:t>项</w:t>
            </w:r>
          </w:p>
        </w:tc>
        <w:tc>
          <w:tcPr>
            <w:tcW w:w="1656" w:type="dxa"/>
            <w:shd w:val="clear" w:color="auto" w:fill="auto"/>
            <w:noWrap/>
            <w:tcMar>
              <w:top w:w="12" w:type="dxa"/>
              <w:left w:w="12" w:type="dxa"/>
              <w:right w:w="12" w:type="dxa"/>
            </w:tcMar>
            <w:vAlign w:val="center"/>
          </w:tcPr>
          <w:p w14:paraId="0826B73F">
            <w:pPr>
              <w:widowControl/>
              <w:adjustRightInd w:val="0"/>
              <w:snapToGrid w:val="0"/>
              <w:spacing w:line="240" w:lineRule="auto"/>
              <w:ind w:firstLine="0" w:firstLineChars="0"/>
              <w:jc w:val="center"/>
              <w:textAlignment w:val="bottom"/>
              <w:rPr>
                <w:rFonts w:asciiTheme="majorEastAsia" w:hAnsiTheme="majorEastAsia" w:eastAsiaTheme="majorEastAsia" w:cstheme="majorEastAsia"/>
                <w:color w:val="000000"/>
                <w:sz w:val="21"/>
                <w:szCs w:val="21"/>
                <w:highlight w:val="none"/>
              </w:rPr>
            </w:pPr>
            <w:r>
              <w:rPr>
                <w:rFonts w:hint="eastAsia" w:asciiTheme="majorEastAsia" w:hAnsiTheme="majorEastAsia" w:eastAsiaTheme="majorEastAsia" w:cstheme="majorEastAsia"/>
                <w:color w:val="000000"/>
                <w:kern w:val="0"/>
                <w:sz w:val="21"/>
                <w:szCs w:val="21"/>
                <w:highlight w:val="none"/>
                <w:lang w:bidi="ar"/>
              </w:rPr>
              <w:t>m</w:t>
            </w:r>
            <w:r>
              <w:rPr>
                <w:rFonts w:hint="eastAsia" w:asciiTheme="majorEastAsia" w:hAnsiTheme="majorEastAsia" w:eastAsiaTheme="majorEastAsia" w:cstheme="majorEastAsia"/>
                <w:color w:val="000000"/>
                <w:kern w:val="0"/>
                <w:sz w:val="21"/>
                <w:szCs w:val="21"/>
                <w:highlight w:val="none"/>
                <w:vertAlign w:val="superscript"/>
                <w:lang w:bidi="ar"/>
              </w:rPr>
              <w:t>2</w:t>
            </w:r>
          </w:p>
        </w:tc>
        <w:tc>
          <w:tcPr>
            <w:tcW w:w="1549" w:type="dxa"/>
            <w:shd w:val="clear" w:color="auto" w:fill="auto"/>
            <w:noWrap/>
            <w:tcMar>
              <w:top w:w="12" w:type="dxa"/>
              <w:left w:w="12" w:type="dxa"/>
              <w:right w:w="12" w:type="dxa"/>
            </w:tcMar>
            <w:vAlign w:val="center"/>
          </w:tcPr>
          <w:p w14:paraId="50508E21">
            <w:pPr>
              <w:adjustRightInd w:val="0"/>
              <w:snapToGrid w:val="0"/>
              <w:spacing w:line="240" w:lineRule="auto"/>
              <w:ind w:firstLine="0" w:firstLineChars="0"/>
              <w:jc w:val="center"/>
              <w:rPr>
                <w:sz w:val="21"/>
                <w:szCs w:val="21"/>
                <w:highlight w:val="none"/>
              </w:rPr>
            </w:pPr>
            <w:r>
              <w:rPr>
                <w:rFonts w:hint="eastAsia"/>
                <w:sz w:val="21"/>
                <w:szCs w:val="21"/>
                <w:highlight w:val="none"/>
              </w:rPr>
              <w:t>所占比例</w:t>
            </w:r>
          </w:p>
        </w:tc>
        <w:tc>
          <w:tcPr>
            <w:tcW w:w="1387" w:type="dxa"/>
            <w:shd w:val="clear" w:color="auto" w:fill="auto"/>
            <w:noWrap/>
            <w:tcMar>
              <w:top w:w="12" w:type="dxa"/>
              <w:left w:w="12" w:type="dxa"/>
              <w:right w:w="12" w:type="dxa"/>
            </w:tcMar>
            <w:vAlign w:val="center"/>
          </w:tcPr>
          <w:p w14:paraId="3D696234">
            <w:pPr>
              <w:adjustRightInd w:val="0"/>
              <w:snapToGrid w:val="0"/>
              <w:spacing w:line="240" w:lineRule="auto"/>
              <w:ind w:firstLine="0" w:firstLineChars="0"/>
              <w:jc w:val="center"/>
              <w:rPr>
                <w:sz w:val="21"/>
                <w:szCs w:val="21"/>
                <w:highlight w:val="none"/>
              </w:rPr>
            </w:pPr>
            <w:r>
              <w:rPr>
                <w:rFonts w:hint="eastAsia"/>
                <w:sz w:val="21"/>
                <w:szCs w:val="21"/>
                <w:highlight w:val="none"/>
              </w:rPr>
              <w:t>径流系数</w:t>
            </w:r>
          </w:p>
        </w:tc>
        <w:tc>
          <w:tcPr>
            <w:tcW w:w="1480" w:type="dxa"/>
            <w:shd w:val="clear" w:color="auto" w:fill="auto"/>
            <w:noWrap/>
            <w:tcMar>
              <w:top w:w="12" w:type="dxa"/>
              <w:left w:w="12" w:type="dxa"/>
              <w:right w:w="12" w:type="dxa"/>
            </w:tcMar>
            <w:vAlign w:val="center"/>
          </w:tcPr>
          <w:p w14:paraId="0EE9330B">
            <w:pPr>
              <w:adjustRightInd w:val="0"/>
              <w:snapToGrid w:val="0"/>
              <w:spacing w:line="240" w:lineRule="auto"/>
              <w:ind w:firstLine="0" w:firstLineChars="0"/>
              <w:jc w:val="center"/>
              <w:rPr>
                <w:sz w:val="21"/>
                <w:szCs w:val="21"/>
                <w:highlight w:val="none"/>
              </w:rPr>
            </w:pPr>
            <w:r>
              <w:rPr>
                <w:rFonts w:hint="eastAsia"/>
                <w:sz w:val="21"/>
                <w:szCs w:val="21"/>
                <w:highlight w:val="none"/>
              </w:rPr>
              <w:t>总系数</w:t>
            </w:r>
          </w:p>
        </w:tc>
      </w:tr>
      <w:tr w14:paraId="2060A7D2">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108" w:type="dxa"/>
            <w:shd w:val="clear" w:color="auto" w:fill="auto"/>
            <w:noWrap/>
            <w:tcMar>
              <w:top w:w="12" w:type="dxa"/>
              <w:left w:w="12" w:type="dxa"/>
              <w:right w:w="12" w:type="dxa"/>
            </w:tcMar>
            <w:vAlign w:val="center"/>
          </w:tcPr>
          <w:p w14:paraId="7FE355C0">
            <w:pPr>
              <w:adjustRightInd w:val="0"/>
              <w:snapToGrid w:val="0"/>
              <w:spacing w:line="240" w:lineRule="auto"/>
              <w:ind w:firstLine="0" w:firstLineChars="0"/>
              <w:jc w:val="center"/>
              <w:rPr>
                <w:sz w:val="21"/>
                <w:szCs w:val="21"/>
                <w:highlight w:val="none"/>
              </w:rPr>
            </w:pPr>
            <w:r>
              <w:rPr>
                <w:rFonts w:hint="eastAsia"/>
                <w:sz w:val="21"/>
                <w:szCs w:val="21"/>
                <w:highlight w:val="none"/>
              </w:rPr>
              <w:t>行车道面积</w:t>
            </w:r>
          </w:p>
        </w:tc>
        <w:tc>
          <w:tcPr>
            <w:tcW w:w="1656" w:type="dxa"/>
            <w:shd w:val="clear" w:color="auto" w:fill="auto"/>
            <w:noWrap/>
            <w:tcMar>
              <w:top w:w="12" w:type="dxa"/>
              <w:left w:w="12" w:type="dxa"/>
              <w:right w:w="12" w:type="dxa"/>
            </w:tcMar>
            <w:vAlign w:val="center"/>
          </w:tcPr>
          <w:p w14:paraId="4F5DAD9F">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7213.24</w:t>
            </w:r>
          </w:p>
        </w:tc>
        <w:tc>
          <w:tcPr>
            <w:tcW w:w="1549" w:type="dxa"/>
            <w:shd w:val="clear" w:color="auto" w:fill="auto"/>
            <w:noWrap/>
            <w:tcMar>
              <w:top w:w="12" w:type="dxa"/>
              <w:left w:w="12" w:type="dxa"/>
              <w:right w:w="12" w:type="dxa"/>
            </w:tcMar>
            <w:vAlign w:val="center"/>
          </w:tcPr>
          <w:p w14:paraId="57DA84CD">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0.49</w:t>
            </w:r>
          </w:p>
        </w:tc>
        <w:tc>
          <w:tcPr>
            <w:tcW w:w="1387" w:type="dxa"/>
            <w:shd w:val="clear" w:color="auto" w:fill="auto"/>
            <w:noWrap/>
            <w:tcMar>
              <w:top w:w="12" w:type="dxa"/>
              <w:left w:w="12" w:type="dxa"/>
              <w:right w:w="12" w:type="dxa"/>
            </w:tcMar>
            <w:vAlign w:val="center"/>
          </w:tcPr>
          <w:p w14:paraId="752596B8">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0.85</w:t>
            </w:r>
          </w:p>
        </w:tc>
        <w:tc>
          <w:tcPr>
            <w:tcW w:w="1480" w:type="dxa"/>
            <w:vMerge w:val="restart"/>
            <w:shd w:val="clear" w:color="auto" w:fill="auto"/>
            <w:noWrap/>
            <w:tcMar>
              <w:top w:w="12" w:type="dxa"/>
              <w:left w:w="12" w:type="dxa"/>
              <w:right w:w="12" w:type="dxa"/>
            </w:tcMar>
            <w:vAlign w:val="center"/>
          </w:tcPr>
          <w:p w14:paraId="3E14006A">
            <w:pPr>
              <w:widowControl/>
              <w:adjustRightInd w:val="0"/>
              <w:snapToGrid w:val="0"/>
              <w:spacing w:line="240" w:lineRule="auto"/>
              <w:ind w:firstLine="0" w:firstLineChars="0"/>
              <w:jc w:val="center"/>
              <w:textAlignment w:val="center"/>
              <w:rPr>
                <w:rFonts w:asciiTheme="minorEastAsia" w:hAnsiTheme="minorEastAsia" w:eastAsiaTheme="majorEastAsia" w:cstheme="minorEastAsia"/>
                <w:color w:val="000000"/>
                <w:sz w:val="21"/>
                <w:szCs w:val="21"/>
                <w:highlight w:val="none"/>
              </w:rPr>
            </w:pPr>
            <w:r>
              <w:rPr>
                <w:rFonts w:hint="eastAsia" w:eastAsiaTheme="majorEastAsia"/>
                <w:sz w:val="21"/>
                <w:szCs w:val="21"/>
                <w:highlight w:val="none"/>
              </w:rPr>
              <w:t>0.4</w:t>
            </w:r>
            <w:r>
              <w:rPr>
                <w:rFonts w:eastAsiaTheme="majorEastAsia"/>
                <w:sz w:val="21"/>
                <w:szCs w:val="21"/>
                <w:highlight w:val="none"/>
              </w:rPr>
              <w:t>8</w:t>
            </w:r>
          </w:p>
        </w:tc>
      </w:tr>
      <w:tr w14:paraId="7857F28F">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108" w:type="dxa"/>
            <w:shd w:val="clear" w:color="auto" w:fill="auto"/>
            <w:noWrap/>
            <w:tcMar>
              <w:top w:w="12" w:type="dxa"/>
              <w:left w:w="12" w:type="dxa"/>
              <w:right w:w="12" w:type="dxa"/>
            </w:tcMar>
            <w:vAlign w:val="center"/>
          </w:tcPr>
          <w:p w14:paraId="3712D771">
            <w:pPr>
              <w:adjustRightInd w:val="0"/>
              <w:snapToGrid w:val="0"/>
              <w:spacing w:line="240" w:lineRule="auto"/>
              <w:ind w:firstLine="0" w:firstLineChars="0"/>
              <w:jc w:val="center"/>
              <w:rPr>
                <w:sz w:val="21"/>
                <w:szCs w:val="21"/>
                <w:highlight w:val="none"/>
              </w:rPr>
            </w:pPr>
            <w:r>
              <w:rPr>
                <w:rFonts w:hint="eastAsia"/>
                <w:sz w:val="21"/>
                <w:szCs w:val="21"/>
                <w:highlight w:val="none"/>
              </w:rPr>
              <w:t>人行道实际面积</w:t>
            </w:r>
          </w:p>
        </w:tc>
        <w:tc>
          <w:tcPr>
            <w:tcW w:w="1656" w:type="dxa"/>
            <w:shd w:val="clear" w:color="auto" w:fill="auto"/>
            <w:noWrap/>
            <w:tcMar>
              <w:top w:w="12" w:type="dxa"/>
              <w:left w:w="12" w:type="dxa"/>
              <w:right w:w="12" w:type="dxa"/>
            </w:tcMar>
            <w:vAlign w:val="center"/>
          </w:tcPr>
          <w:p w14:paraId="68DFCDB5">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2380.94</w:t>
            </w:r>
          </w:p>
        </w:tc>
        <w:tc>
          <w:tcPr>
            <w:tcW w:w="1549" w:type="dxa"/>
            <w:shd w:val="clear" w:color="auto" w:fill="auto"/>
            <w:noWrap/>
            <w:tcMar>
              <w:top w:w="12" w:type="dxa"/>
              <w:left w:w="12" w:type="dxa"/>
              <w:right w:w="12" w:type="dxa"/>
            </w:tcMar>
            <w:vAlign w:val="center"/>
          </w:tcPr>
          <w:p w14:paraId="6CE399C7">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0.16</w:t>
            </w:r>
          </w:p>
        </w:tc>
        <w:tc>
          <w:tcPr>
            <w:tcW w:w="1387" w:type="dxa"/>
            <w:shd w:val="clear" w:color="auto" w:fill="auto"/>
            <w:noWrap/>
            <w:tcMar>
              <w:top w:w="12" w:type="dxa"/>
              <w:left w:w="12" w:type="dxa"/>
              <w:right w:w="12" w:type="dxa"/>
            </w:tcMar>
            <w:vAlign w:val="center"/>
          </w:tcPr>
          <w:p w14:paraId="728F5F40">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0.1</w:t>
            </w:r>
          </w:p>
        </w:tc>
        <w:tc>
          <w:tcPr>
            <w:tcW w:w="1480" w:type="dxa"/>
            <w:vMerge w:val="continue"/>
            <w:shd w:val="clear" w:color="auto" w:fill="auto"/>
            <w:noWrap/>
            <w:tcMar>
              <w:top w:w="12" w:type="dxa"/>
              <w:left w:w="12" w:type="dxa"/>
              <w:right w:w="12" w:type="dxa"/>
            </w:tcMar>
            <w:vAlign w:val="center"/>
          </w:tcPr>
          <w:p w14:paraId="0146131D">
            <w:pPr>
              <w:adjustRightInd w:val="0"/>
              <w:snapToGrid w:val="0"/>
              <w:spacing w:line="240" w:lineRule="auto"/>
              <w:ind w:firstLine="0" w:firstLineChars="0"/>
              <w:jc w:val="center"/>
              <w:rPr>
                <w:rFonts w:ascii="等线" w:hAnsi="等线" w:eastAsia="等线" w:cs="等线"/>
                <w:color w:val="000000"/>
                <w:sz w:val="21"/>
                <w:szCs w:val="21"/>
                <w:highlight w:val="none"/>
              </w:rPr>
            </w:pPr>
          </w:p>
        </w:tc>
      </w:tr>
      <w:tr w14:paraId="20B04170">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108" w:type="dxa"/>
            <w:shd w:val="clear" w:color="auto" w:fill="auto"/>
            <w:noWrap/>
            <w:tcMar>
              <w:top w:w="12" w:type="dxa"/>
              <w:left w:w="12" w:type="dxa"/>
              <w:right w:w="12" w:type="dxa"/>
            </w:tcMar>
            <w:vAlign w:val="center"/>
          </w:tcPr>
          <w:p w14:paraId="61014C8A">
            <w:pPr>
              <w:adjustRightInd w:val="0"/>
              <w:snapToGrid w:val="0"/>
              <w:spacing w:line="240" w:lineRule="auto"/>
              <w:ind w:firstLine="0" w:firstLineChars="0"/>
              <w:jc w:val="center"/>
              <w:rPr>
                <w:sz w:val="21"/>
                <w:szCs w:val="21"/>
                <w:highlight w:val="none"/>
              </w:rPr>
            </w:pPr>
            <w:r>
              <w:rPr>
                <w:rFonts w:hint="eastAsia"/>
                <w:sz w:val="21"/>
                <w:szCs w:val="21"/>
                <w:highlight w:val="none"/>
              </w:rPr>
              <w:t>非机动车道面积</w:t>
            </w:r>
          </w:p>
        </w:tc>
        <w:tc>
          <w:tcPr>
            <w:tcW w:w="1656" w:type="dxa"/>
            <w:shd w:val="clear" w:color="auto" w:fill="auto"/>
            <w:noWrap/>
            <w:tcMar>
              <w:top w:w="12" w:type="dxa"/>
              <w:left w:w="12" w:type="dxa"/>
              <w:right w:w="12" w:type="dxa"/>
            </w:tcMar>
            <w:vAlign w:val="center"/>
          </w:tcPr>
          <w:p w14:paraId="09E2216E">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995.66</w:t>
            </w:r>
          </w:p>
        </w:tc>
        <w:tc>
          <w:tcPr>
            <w:tcW w:w="1549" w:type="dxa"/>
            <w:shd w:val="clear" w:color="auto" w:fill="auto"/>
            <w:noWrap/>
            <w:tcMar>
              <w:top w:w="12" w:type="dxa"/>
              <w:left w:w="12" w:type="dxa"/>
              <w:right w:w="12" w:type="dxa"/>
            </w:tcMar>
            <w:vAlign w:val="center"/>
          </w:tcPr>
          <w:p w14:paraId="43291D87">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0.07</w:t>
            </w:r>
          </w:p>
        </w:tc>
        <w:tc>
          <w:tcPr>
            <w:tcW w:w="1387" w:type="dxa"/>
            <w:shd w:val="clear" w:color="auto" w:fill="auto"/>
            <w:noWrap/>
            <w:tcMar>
              <w:top w:w="12" w:type="dxa"/>
              <w:left w:w="12" w:type="dxa"/>
              <w:right w:w="12" w:type="dxa"/>
            </w:tcMar>
            <w:vAlign w:val="center"/>
          </w:tcPr>
          <w:p w14:paraId="1B5E9019">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0.1</w:t>
            </w:r>
          </w:p>
        </w:tc>
        <w:tc>
          <w:tcPr>
            <w:tcW w:w="1480" w:type="dxa"/>
            <w:vMerge w:val="continue"/>
            <w:shd w:val="clear" w:color="auto" w:fill="auto"/>
            <w:noWrap/>
            <w:tcMar>
              <w:top w:w="12" w:type="dxa"/>
              <w:left w:w="12" w:type="dxa"/>
              <w:right w:w="12" w:type="dxa"/>
            </w:tcMar>
            <w:vAlign w:val="center"/>
          </w:tcPr>
          <w:p w14:paraId="15CAD092">
            <w:pPr>
              <w:adjustRightInd w:val="0"/>
              <w:snapToGrid w:val="0"/>
              <w:spacing w:line="240" w:lineRule="auto"/>
              <w:ind w:firstLine="0" w:firstLineChars="0"/>
              <w:jc w:val="center"/>
              <w:rPr>
                <w:rFonts w:ascii="等线" w:hAnsi="等线" w:eastAsia="等线" w:cs="等线"/>
                <w:color w:val="000000"/>
                <w:sz w:val="21"/>
                <w:szCs w:val="21"/>
                <w:highlight w:val="none"/>
              </w:rPr>
            </w:pPr>
          </w:p>
        </w:tc>
      </w:tr>
      <w:tr w14:paraId="388F94C2">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108" w:type="dxa"/>
            <w:shd w:val="clear" w:color="auto" w:fill="auto"/>
            <w:noWrap/>
            <w:tcMar>
              <w:top w:w="12" w:type="dxa"/>
              <w:left w:w="12" w:type="dxa"/>
              <w:right w:w="12" w:type="dxa"/>
            </w:tcMar>
            <w:vAlign w:val="center"/>
          </w:tcPr>
          <w:p w14:paraId="24CB3BB5">
            <w:pPr>
              <w:adjustRightInd w:val="0"/>
              <w:snapToGrid w:val="0"/>
              <w:spacing w:line="240" w:lineRule="auto"/>
              <w:ind w:firstLine="0" w:firstLineChars="0"/>
              <w:jc w:val="center"/>
              <w:rPr>
                <w:color w:val="FF0000"/>
                <w:sz w:val="21"/>
                <w:szCs w:val="21"/>
                <w:highlight w:val="none"/>
              </w:rPr>
            </w:pPr>
            <w:r>
              <w:rPr>
                <w:rFonts w:hint="eastAsia"/>
                <w:sz w:val="21"/>
                <w:szCs w:val="21"/>
                <w:highlight w:val="none"/>
              </w:rPr>
              <w:t>绿化带面积</w:t>
            </w:r>
          </w:p>
        </w:tc>
        <w:tc>
          <w:tcPr>
            <w:tcW w:w="1656" w:type="dxa"/>
            <w:shd w:val="clear" w:color="auto" w:fill="auto"/>
            <w:noWrap/>
            <w:tcMar>
              <w:top w:w="12" w:type="dxa"/>
              <w:left w:w="12" w:type="dxa"/>
              <w:right w:w="12" w:type="dxa"/>
            </w:tcMar>
            <w:vAlign w:val="center"/>
          </w:tcPr>
          <w:p w14:paraId="23BE5650">
            <w:pPr>
              <w:widowControl/>
              <w:adjustRightInd w:val="0"/>
              <w:snapToGrid w:val="0"/>
              <w:spacing w:line="240" w:lineRule="auto"/>
              <w:ind w:firstLine="0" w:firstLineChars="0"/>
              <w:jc w:val="center"/>
              <w:textAlignment w:val="bottom"/>
              <w:rPr>
                <w:rFonts w:eastAsiaTheme="majorEastAsia"/>
                <w:color w:val="FF0000"/>
                <w:sz w:val="21"/>
                <w:szCs w:val="21"/>
                <w:highlight w:val="none"/>
              </w:rPr>
            </w:pPr>
            <w:r>
              <w:rPr>
                <w:rFonts w:eastAsia="等线"/>
                <w:color w:val="000000"/>
                <w:sz w:val="21"/>
                <w:szCs w:val="21"/>
                <w:highlight w:val="none"/>
              </w:rPr>
              <w:t>4237.04</w:t>
            </w:r>
          </w:p>
        </w:tc>
        <w:tc>
          <w:tcPr>
            <w:tcW w:w="1549" w:type="dxa"/>
            <w:shd w:val="clear" w:color="auto" w:fill="auto"/>
            <w:noWrap/>
            <w:tcMar>
              <w:top w:w="12" w:type="dxa"/>
              <w:left w:w="12" w:type="dxa"/>
              <w:right w:w="12" w:type="dxa"/>
            </w:tcMar>
            <w:vAlign w:val="center"/>
          </w:tcPr>
          <w:p w14:paraId="58020072">
            <w:pPr>
              <w:widowControl/>
              <w:adjustRightInd w:val="0"/>
              <w:snapToGrid w:val="0"/>
              <w:spacing w:line="240" w:lineRule="auto"/>
              <w:ind w:firstLine="0" w:firstLineChars="0"/>
              <w:jc w:val="center"/>
              <w:textAlignment w:val="bottom"/>
              <w:rPr>
                <w:rFonts w:eastAsiaTheme="majorEastAsia"/>
                <w:color w:val="FF0000"/>
                <w:sz w:val="21"/>
                <w:szCs w:val="21"/>
                <w:highlight w:val="none"/>
              </w:rPr>
            </w:pPr>
            <w:r>
              <w:rPr>
                <w:rFonts w:eastAsia="等线"/>
                <w:color w:val="000000"/>
                <w:sz w:val="21"/>
                <w:szCs w:val="21"/>
                <w:highlight w:val="none"/>
              </w:rPr>
              <w:t>0.29</w:t>
            </w:r>
          </w:p>
        </w:tc>
        <w:tc>
          <w:tcPr>
            <w:tcW w:w="1387" w:type="dxa"/>
            <w:shd w:val="clear" w:color="auto" w:fill="auto"/>
            <w:noWrap/>
            <w:tcMar>
              <w:top w:w="12" w:type="dxa"/>
              <w:left w:w="12" w:type="dxa"/>
              <w:right w:w="12" w:type="dxa"/>
            </w:tcMar>
            <w:vAlign w:val="center"/>
          </w:tcPr>
          <w:p w14:paraId="5FD7F6E5">
            <w:pPr>
              <w:widowControl/>
              <w:adjustRightInd w:val="0"/>
              <w:snapToGrid w:val="0"/>
              <w:spacing w:line="240" w:lineRule="auto"/>
              <w:ind w:firstLine="0" w:firstLineChars="0"/>
              <w:jc w:val="center"/>
              <w:textAlignment w:val="bottom"/>
              <w:rPr>
                <w:rFonts w:eastAsiaTheme="majorEastAsia"/>
                <w:color w:val="FF0000"/>
                <w:sz w:val="21"/>
                <w:szCs w:val="21"/>
                <w:highlight w:val="none"/>
              </w:rPr>
            </w:pPr>
            <w:r>
              <w:rPr>
                <w:rFonts w:eastAsia="等线"/>
                <w:color w:val="000000"/>
                <w:sz w:val="21"/>
                <w:szCs w:val="21"/>
                <w:highlight w:val="none"/>
              </w:rPr>
              <w:t>0.15</w:t>
            </w:r>
          </w:p>
        </w:tc>
        <w:tc>
          <w:tcPr>
            <w:tcW w:w="1480" w:type="dxa"/>
            <w:vMerge w:val="continue"/>
            <w:shd w:val="clear" w:color="auto" w:fill="auto"/>
            <w:noWrap/>
            <w:tcMar>
              <w:top w:w="12" w:type="dxa"/>
              <w:left w:w="12" w:type="dxa"/>
              <w:right w:w="12" w:type="dxa"/>
            </w:tcMar>
            <w:vAlign w:val="center"/>
          </w:tcPr>
          <w:p w14:paraId="7B279517">
            <w:pPr>
              <w:adjustRightInd w:val="0"/>
              <w:snapToGrid w:val="0"/>
              <w:spacing w:line="240" w:lineRule="auto"/>
              <w:ind w:firstLine="0" w:firstLineChars="0"/>
              <w:jc w:val="center"/>
              <w:rPr>
                <w:rFonts w:ascii="等线" w:hAnsi="等线" w:eastAsia="等线" w:cs="等线"/>
                <w:color w:val="000000"/>
                <w:sz w:val="21"/>
                <w:szCs w:val="21"/>
                <w:highlight w:val="none"/>
              </w:rPr>
            </w:pPr>
          </w:p>
        </w:tc>
      </w:tr>
      <w:tr w14:paraId="775286FE">
        <w:tblPrEx>
          <w:tblBorders>
            <w:top w:val="thinThickSmallGap" w:color="000000" w:sz="24" w:space="0"/>
            <w:left w:val="thinThickSmallGap" w:color="000000" w:sz="24" w:space="0"/>
            <w:bottom w:val="thinThickSmallGap" w:color="000000" w:sz="24" w:space="0"/>
            <w:right w:val="thinThickSmallGap" w:color="000000" w:sz="2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108" w:type="dxa"/>
            <w:shd w:val="clear" w:color="auto" w:fill="auto"/>
            <w:noWrap/>
            <w:tcMar>
              <w:top w:w="12" w:type="dxa"/>
              <w:left w:w="12" w:type="dxa"/>
              <w:right w:w="12" w:type="dxa"/>
            </w:tcMar>
            <w:vAlign w:val="center"/>
          </w:tcPr>
          <w:p w14:paraId="774AA4A0">
            <w:pPr>
              <w:adjustRightInd w:val="0"/>
              <w:snapToGrid w:val="0"/>
              <w:spacing w:line="240" w:lineRule="auto"/>
              <w:ind w:firstLine="0" w:firstLineChars="0"/>
              <w:jc w:val="center"/>
              <w:rPr>
                <w:sz w:val="21"/>
                <w:szCs w:val="21"/>
                <w:highlight w:val="none"/>
              </w:rPr>
            </w:pPr>
            <w:r>
              <w:rPr>
                <w:rFonts w:hint="eastAsia"/>
                <w:sz w:val="21"/>
                <w:szCs w:val="21"/>
                <w:highlight w:val="none"/>
              </w:rPr>
              <w:t>合计</w:t>
            </w:r>
          </w:p>
        </w:tc>
        <w:tc>
          <w:tcPr>
            <w:tcW w:w="1656" w:type="dxa"/>
            <w:shd w:val="clear" w:color="auto" w:fill="auto"/>
            <w:noWrap/>
            <w:tcMar>
              <w:top w:w="12" w:type="dxa"/>
              <w:left w:w="12" w:type="dxa"/>
              <w:right w:w="12" w:type="dxa"/>
            </w:tcMar>
            <w:vAlign w:val="center"/>
          </w:tcPr>
          <w:p w14:paraId="059A7947">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14826.88</w:t>
            </w:r>
          </w:p>
        </w:tc>
        <w:tc>
          <w:tcPr>
            <w:tcW w:w="1549" w:type="dxa"/>
            <w:shd w:val="clear" w:color="auto" w:fill="auto"/>
            <w:noWrap/>
            <w:tcMar>
              <w:top w:w="12" w:type="dxa"/>
              <w:left w:w="12" w:type="dxa"/>
              <w:right w:w="12" w:type="dxa"/>
            </w:tcMar>
            <w:vAlign w:val="center"/>
          </w:tcPr>
          <w:p w14:paraId="122B42AE">
            <w:pPr>
              <w:widowControl/>
              <w:adjustRightInd w:val="0"/>
              <w:snapToGrid w:val="0"/>
              <w:spacing w:line="240" w:lineRule="auto"/>
              <w:ind w:firstLine="0" w:firstLineChars="0"/>
              <w:jc w:val="center"/>
              <w:textAlignment w:val="bottom"/>
              <w:rPr>
                <w:rFonts w:eastAsiaTheme="majorEastAsia"/>
                <w:sz w:val="21"/>
                <w:szCs w:val="21"/>
                <w:highlight w:val="none"/>
              </w:rPr>
            </w:pPr>
            <w:r>
              <w:rPr>
                <w:rFonts w:eastAsia="等线"/>
                <w:color w:val="000000"/>
                <w:sz w:val="21"/>
                <w:szCs w:val="21"/>
                <w:highlight w:val="none"/>
              </w:rPr>
              <w:t>1</w:t>
            </w:r>
          </w:p>
        </w:tc>
        <w:tc>
          <w:tcPr>
            <w:tcW w:w="1387" w:type="dxa"/>
            <w:shd w:val="clear" w:color="auto" w:fill="auto"/>
            <w:noWrap/>
            <w:tcMar>
              <w:top w:w="12" w:type="dxa"/>
              <w:left w:w="12" w:type="dxa"/>
              <w:right w:w="12" w:type="dxa"/>
            </w:tcMar>
            <w:vAlign w:val="center"/>
          </w:tcPr>
          <w:p w14:paraId="20A9D54B">
            <w:pPr>
              <w:widowControl/>
              <w:adjustRightInd w:val="0"/>
              <w:snapToGrid w:val="0"/>
              <w:spacing w:line="240" w:lineRule="auto"/>
              <w:ind w:firstLine="0" w:firstLineChars="0"/>
              <w:jc w:val="center"/>
              <w:textAlignment w:val="bottom"/>
              <w:rPr>
                <w:rFonts w:eastAsiaTheme="majorEastAsia"/>
                <w:sz w:val="21"/>
                <w:szCs w:val="21"/>
                <w:highlight w:val="none"/>
              </w:rPr>
            </w:pPr>
          </w:p>
        </w:tc>
        <w:tc>
          <w:tcPr>
            <w:tcW w:w="1480" w:type="dxa"/>
            <w:vMerge w:val="continue"/>
            <w:shd w:val="clear" w:color="auto" w:fill="auto"/>
            <w:noWrap/>
            <w:tcMar>
              <w:top w:w="12" w:type="dxa"/>
              <w:left w:w="12" w:type="dxa"/>
              <w:right w:w="12" w:type="dxa"/>
            </w:tcMar>
            <w:vAlign w:val="center"/>
          </w:tcPr>
          <w:p w14:paraId="2E686E0C">
            <w:pPr>
              <w:adjustRightInd w:val="0"/>
              <w:snapToGrid w:val="0"/>
              <w:spacing w:line="240" w:lineRule="auto"/>
              <w:ind w:firstLine="0" w:firstLineChars="0"/>
              <w:jc w:val="center"/>
              <w:rPr>
                <w:rFonts w:ascii="等线" w:hAnsi="等线" w:eastAsia="等线" w:cs="等线"/>
                <w:color w:val="000000"/>
                <w:sz w:val="21"/>
                <w:szCs w:val="21"/>
                <w:highlight w:val="none"/>
              </w:rPr>
            </w:pPr>
          </w:p>
        </w:tc>
      </w:tr>
    </w:tbl>
    <w:p w14:paraId="2D0E447F">
      <w:pPr>
        <w:ind w:firstLine="480"/>
        <w:rPr>
          <w:snapToGrid w:val="0"/>
          <w:highlight w:val="none"/>
        </w:rPr>
      </w:pPr>
      <w:r>
        <w:rPr>
          <w:rFonts w:hint="eastAsia"/>
          <w:snapToGrid w:val="0"/>
          <w:highlight w:val="none"/>
        </w:rPr>
        <w:t>经计算，建设前的雨水径流=Ψ×q×F=</w:t>
      </w:r>
      <w:r>
        <w:rPr>
          <w:snapToGrid w:val="0"/>
          <w:highlight w:val="none"/>
        </w:rPr>
        <w:t>889.08(L/s)</w:t>
      </w:r>
      <w:r>
        <w:rPr>
          <w:rFonts w:hint="eastAsia"/>
          <w:snapToGrid w:val="0"/>
          <w:highlight w:val="none"/>
        </w:rPr>
        <w:t>；</w:t>
      </w:r>
    </w:p>
    <w:p w14:paraId="176697A1">
      <w:pPr>
        <w:ind w:firstLine="480"/>
        <w:rPr>
          <w:snapToGrid w:val="0"/>
          <w:highlight w:val="none"/>
        </w:rPr>
      </w:pPr>
      <w:r>
        <w:rPr>
          <w:rFonts w:hint="eastAsia"/>
          <w:snapToGrid w:val="0"/>
          <w:highlight w:val="none"/>
        </w:rPr>
        <w:t>建设后的雨水径流=Ψ×q×F=</w:t>
      </w:r>
      <w:r>
        <w:rPr>
          <w:snapToGrid w:val="0"/>
          <w:highlight w:val="none"/>
        </w:rPr>
        <w:t>1365.03 (L/s)</w:t>
      </w:r>
      <w:r>
        <w:rPr>
          <w:rFonts w:hint="eastAsia"/>
          <w:snapToGrid w:val="0"/>
          <w:highlight w:val="none"/>
        </w:rPr>
        <w:t>；</w:t>
      </w:r>
    </w:p>
    <w:p w14:paraId="55D3A6A5">
      <w:pPr>
        <w:ind w:firstLine="480"/>
        <w:rPr>
          <w:snapToGrid w:val="0"/>
          <w:highlight w:val="none"/>
        </w:rPr>
      </w:pPr>
      <w:r>
        <w:rPr>
          <w:rFonts w:hint="eastAsia"/>
          <w:snapToGrid w:val="0"/>
          <w:highlight w:val="none"/>
        </w:rPr>
        <w:t>综上所述，本项目建设前后在重现期均为</w:t>
      </w:r>
      <w:r>
        <w:rPr>
          <w:rFonts w:hint="eastAsia"/>
          <w:snapToGrid w:val="0"/>
          <w:highlight w:val="yellow"/>
        </w:rPr>
        <w:t>p=</w:t>
      </w:r>
      <w:r>
        <w:rPr>
          <w:rFonts w:hint="eastAsia"/>
          <w:snapToGrid w:val="0"/>
          <w:highlight w:val="yellow"/>
          <w:lang w:val="en-US" w:eastAsia="zh-CN"/>
        </w:rPr>
        <w:t>5</w:t>
      </w:r>
      <w:r>
        <w:rPr>
          <w:rFonts w:hint="eastAsia"/>
          <w:snapToGrid w:val="0"/>
          <w:highlight w:val="none"/>
        </w:rPr>
        <w:t xml:space="preserve"> 时，项目建设前综合径流系数0.</w:t>
      </w:r>
      <w:r>
        <w:rPr>
          <w:snapToGrid w:val="0"/>
          <w:highlight w:val="none"/>
        </w:rPr>
        <w:t>3</w:t>
      </w:r>
      <w:r>
        <w:rPr>
          <w:rFonts w:hint="eastAsia"/>
          <w:snapToGrid w:val="0"/>
          <w:highlight w:val="none"/>
        </w:rPr>
        <w:t xml:space="preserve"> ，雨水径流量为889.08 L/s，通过渗排一体化设施、下沉式绿地、透水铺装等雨水消减办法，项目建设后综合径流系数 </w:t>
      </w:r>
      <w:r>
        <w:rPr>
          <w:snapToGrid w:val="0"/>
          <w:highlight w:val="none"/>
        </w:rPr>
        <w:t>0.48</w:t>
      </w:r>
      <w:r>
        <w:rPr>
          <w:rFonts w:hint="eastAsia"/>
          <w:snapToGrid w:val="0"/>
          <w:highlight w:val="none"/>
        </w:rPr>
        <w:t>，雨水径流量为1365.03L/s。</w:t>
      </w:r>
    </w:p>
    <w:p w14:paraId="33ACF9C2">
      <w:pPr>
        <w:pStyle w:val="5"/>
        <w:ind w:firstLine="482"/>
        <w:rPr>
          <w:color w:val="auto"/>
          <w:highlight w:val="none"/>
        </w:rPr>
      </w:pPr>
      <w:r>
        <w:rPr>
          <w:rFonts w:hint="eastAsia"/>
          <w:color w:val="auto"/>
          <w:highlight w:val="none"/>
        </w:rPr>
        <w:t>污水工程</w:t>
      </w:r>
    </w:p>
    <w:p w14:paraId="0DF65DF2">
      <w:pPr>
        <w:ind w:firstLine="480"/>
        <w:rPr>
          <w:highlight w:val="none"/>
        </w:rPr>
      </w:pPr>
      <w:r>
        <w:rPr>
          <w:rFonts w:hint="eastAsia"/>
          <w:highlight w:val="none"/>
        </w:rPr>
        <w:t>（</w:t>
      </w:r>
      <w:r>
        <w:rPr>
          <w:highlight w:val="none"/>
        </w:rPr>
        <w:t>1</w:t>
      </w:r>
      <w:r>
        <w:rPr>
          <w:rFonts w:hint="eastAsia"/>
          <w:highlight w:val="none"/>
        </w:rPr>
        <w:t>）污水量按下式计算：</w:t>
      </w:r>
    </w:p>
    <w:p w14:paraId="3F7ED7EB">
      <w:pPr>
        <w:ind w:firstLine="0" w:firstLineChars="0"/>
        <w:jc w:val="center"/>
        <w:rPr>
          <w:highlight w:val="none"/>
        </w:rPr>
      </w:pPr>
      <w:r>
        <w:rPr>
          <w:rFonts w:hint="eastAsia"/>
          <w:highlight w:val="none"/>
        </w:rPr>
        <w:t>Q=k×q×F</w:t>
      </w:r>
    </w:p>
    <w:p w14:paraId="002E2565">
      <w:pPr>
        <w:ind w:firstLine="480"/>
        <w:rPr>
          <w:highlight w:val="none"/>
        </w:rPr>
      </w:pPr>
      <w:r>
        <w:rPr>
          <w:rFonts w:hint="eastAsia"/>
          <w:highlight w:val="none"/>
        </w:rPr>
        <w:t>式中：</w:t>
      </w:r>
      <w:r>
        <w:rPr>
          <w:highlight w:val="none"/>
        </w:rPr>
        <w:t>Q</w:t>
      </w:r>
      <w:r>
        <w:rPr>
          <w:rFonts w:hint="eastAsia"/>
          <w:highlight w:val="none"/>
        </w:rPr>
        <w:t>——污水设计流量（</w:t>
      </w:r>
      <w:r>
        <w:rPr>
          <w:highlight w:val="none"/>
        </w:rPr>
        <w:t>L/s</w:t>
      </w:r>
      <w:r>
        <w:rPr>
          <w:rFonts w:hint="eastAsia"/>
          <w:highlight w:val="none"/>
        </w:rPr>
        <w:t>）；</w:t>
      </w:r>
    </w:p>
    <w:p w14:paraId="055D5110">
      <w:pPr>
        <w:ind w:firstLine="480"/>
        <w:rPr>
          <w:highlight w:val="none"/>
        </w:rPr>
      </w:pPr>
      <w:r>
        <w:rPr>
          <w:highlight w:val="none"/>
        </w:rPr>
        <w:t>q</w:t>
      </w:r>
      <w:r>
        <w:rPr>
          <w:rFonts w:hint="eastAsia"/>
          <w:highlight w:val="none"/>
        </w:rPr>
        <w:t>——单位面积单位时间内的污水量（</w:t>
      </w:r>
      <w:r>
        <w:rPr>
          <w:highlight w:val="none"/>
        </w:rPr>
        <w:t>L/s</w:t>
      </w:r>
      <w:r>
        <w:rPr>
          <w:rFonts w:hint="eastAsia"/>
          <w:highlight w:val="none"/>
        </w:rPr>
        <w:t>·</w:t>
      </w:r>
      <w:r>
        <w:rPr>
          <w:highlight w:val="none"/>
        </w:rPr>
        <w:t>hm</w:t>
      </w:r>
      <w:r>
        <w:rPr>
          <w:highlight w:val="none"/>
          <w:vertAlign w:val="superscript"/>
        </w:rPr>
        <w:t>2</w:t>
      </w:r>
      <w:r>
        <w:rPr>
          <w:rFonts w:hint="eastAsia"/>
          <w:highlight w:val="none"/>
        </w:rPr>
        <w:t>）；</w:t>
      </w:r>
    </w:p>
    <w:p w14:paraId="67FB7D39">
      <w:pPr>
        <w:ind w:firstLine="480"/>
        <w:rPr>
          <w:highlight w:val="none"/>
        </w:rPr>
      </w:pPr>
      <w:r>
        <w:rPr>
          <w:highlight w:val="none"/>
        </w:rPr>
        <w:t>F</w:t>
      </w:r>
      <w:r>
        <w:rPr>
          <w:rFonts w:hint="eastAsia"/>
          <w:highlight w:val="none"/>
        </w:rPr>
        <w:t>——收水面积（</w:t>
      </w:r>
      <w:r>
        <w:rPr>
          <w:highlight w:val="none"/>
        </w:rPr>
        <w:t>hm</w:t>
      </w:r>
      <w:r>
        <w:rPr>
          <w:highlight w:val="none"/>
          <w:vertAlign w:val="superscript"/>
        </w:rPr>
        <w:t>2</w:t>
      </w:r>
      <w:r>
        <w:rPr>
          <w:rFonts w:hint="eastAsia"/>
          <w:highlight w:val="none"/>
        </w:rPr>
        <w:t>）；</w:t>
      </w:r>
    </w:p>
    <w:p w14:paraId="35FFD494">
      <w:pPr>
        <w:ind w:firstLine="480"/>
        <w:rPr>
          <w:highlight w:val="none"/>
        </w:rPr>
      </w:pPr>
      <w:r>
        <w:rPr>
          <w:highlight w:val="none"/>
        </w:rPr>
        <w:t>k</w:t>
      </w:r>
      <w:r>
        <w:rPr>
          <w:rFonts w:hint="eastAsia"/>
          <w:highlight w:val="none"/>
        </w:rPr>
        <w:t>——污水的总变化系数。</w:t>
      </w:r>
    </w:p>
    <w:p w14:paraId="328AEF6F">
      <w:pPr>
        <w:ind w:firstLine="480"/>
        <w:rPr>
          <w:highlight w:val="none"/>
        </w:rPr>
      </w:pPr>
      <w:r>
        <w:rPr>
          <w:rFonts w:hint="eastAsia"/>
          <w:highlight w:val="none"/>
        </w:rPr>
        <w:t>污水总变化系数按</w:t>
      </w:r>
      <w:r>
        <w:rPr>
          <w:rFonts w:hint="eastAsia"/>
          <w:highlight w:val="none"/>
          <w:lang w:eastAsia="zh-CN"/>
        </w:rPr>
        <w:t>《室外排水设计标准》（GB50014－2021）</w:t>
      </w:r>
      <w:r>
        <w:rPr>
          <w:rFonts w:hint="eastAsia"/>
          <w:highlight w:val="none"/>
        </w:rPr>
        <w:t>，详见下表所示：</w:t>
      </w:r>
    </w:p>
    <w:p w14:paraId="17103B9C">
      <w:pPr>
        <w:ind w:firstLine="0" w:firstLineChars="0"/>
        <w:jc w:val="center"/>
        <w:rPr>
          <w:b/>
          <w:bCs/>
          <w:highlight w:val="none"/>
        </w:rPr>
      </w:pPr>
      <w:r>
        <w:rPr>
          <w:rFonts w:hint="eastAsia"/>
          <w:b/>
          <w:bCs/>
          <w:highlight w:val="none"/>
        </w:rPr>
        <w:t xml:space="preserve">综合生活污水量总变化系数表 </w:t>
      </w:r>
    </w:p>
    <w:tbl>
      <w:tblPr>
        <w:tblStyle w:val="20"/>
        <w:tblW w:w="9810" w:type="dxa"/>
        <w:jc w:val="cente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Layout w:type="fixed"/>
        <w:tblCellMar>
          <w:top w:w="0" w:type="dxa"/>
          <w:left w:w="0" w:type="dxa"/>
          <w:bottom w:w="0" w:type="dxa"/>
          <w:right w:w="0" w:type="dxa"/>
        </w:tblCellMar>
      </w:tblPr>
      <w:tblGrid>
        <w:gridCol w:w="2201"/>
        <w:gridCol w:w="894"/>
        <w:gridCol w:w="894"/>
        <w:gridCol w:w="893"/>
        <w:gridCol w:w="893"/>
        <w:gridCol w:w="893"/>
        <w:gridCol w:w="893"/>
        <w:gridCol w:w="893"/>
        <w:gridCol w:w="1356"/>
      </w:tblGrid>
      <w:tr w14:paraId="5823A2C3">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201" w:type="dxa"/>
            <w:tcMar>
              <w:top w:w="20" w:type="dxa"/>
              <w:left w:w="20" w:type="dxa"/>
              <w:bottom w:w="0" w:type="dxa"/>
              <w:right w:w="20" w:type="dxa"/>
            </w:tcMar>
            <w:vAlign w:val="center"/>
          </w:tcPr>
          <w:p w14:paraId="64CB91AF">
            <w:pPr>
              <w:spacing w:line="240" w:lineRule="auto"/>
              <w:ind w:firstLine="0" w:firstLineChars="0"/>
              <w:jc w:val="center"/>
              <w:rPr>
                <w:bCs/>
                <w:sz w:val="21"/>
                <w:szCs w:val="21"/>
                <w:highlight w:val="none"/>
              </w:rPr>
            </w:pPr>
            <w:r>
              <w:rPr>
                <w:rFonts w:hint="eastAsia"/>
                <w:bCs/>
                <w:sz w:val="21"/>
                <w:szCs w:val="21"/>
                <w:highlight w:val="none"/>
              </w:rPr>
              <w:t>平均日流量（L/s）</w:t>
            </w:r>
          </w:p>
        </w:tc>
        <w:tc>
          <w:tcPr>
            <w:tcW w:w="894" w:type="dxa"/>
            <w:tcMar>
              <w:top w:w="20" w:type="dxa"/>
              <w:left w:w="20" w:type="dxa"/>
              <w:bottom w:w="0" w:type="dxa"/>
              <w:right w:w="20" w:type="dxa"/>
            </w:tcMar>
            <w:vAlign w:val="center"/>
          </w:tcPr>
          <w:p w14:paraId="70A0C162">
            <w:pPr>
              <w:spacing w:line="240" w:lineRule="auto"/>
              <w:ind w:firstLine="0" w:firstLineChars="0"/>
              <w:jc w:val="center"/>
              <w:rPr>
                <w:bCs/>
                <w:sz w:val="21"/>
                <w:szCs w:val="21"/>
                <w:highlight w:val="none"/>
              </w:rPr>
            </w:pPr>
            <w:r>
              <w:rPr>
                <w:rFonts w:hint="eastAsia"/>
                <w:bCs/>
                <w:sz w:val="21"/>
                <w:szCs w:val="21"/>
                <w:highlight w:val="none"/>
              </w:rPr>
              <w:t>5</w:t>
            </w:r>
          </w:p>
        </w:tc>
        <w:tc>
          <w:tcPr>
            <w:tcW w:w="894" w:type="dxa"/>
            <w:tcMar>
              <w:top w:w="20" w:type="dxa"/>
              <w:left w:w="20" w:type="dxa"/>
              <w:bottom w:w="0" w:type="dxa"/>
              <w:right w:w="20" w:type="dxa"/>
            </w:tcMar>
            <w:vAlign w:val="center"/>
          </w:tcPr>
          <w:p w14:paraId="6227D27F">
            <w:pPr>
              <w:spacing w:line="240" w:lineRule="auto"/>
              <w:ind w:firstLine="0" w:firstLineChars="0"/>
              <w:jc w:val="center"/>
              <w:rPr>
                <w:bCs/>
                <w:sz w:val="21"/>
                <w:szCs w:val="21"/>
                <w:highlight w:val="none"/>
              </w:rPr>
            </w:pPr>
            <w:r>
              <w:rPr>
                <w:rFonts w:hint="eastAsia"/>
                <w:bCs/>
                <w:sz w:val="21"/>
                <w:szCs w:val="21"/>
                <w:highlight w:val="none"/>
              </w:rPr>
              <w:t>15</w:t>
            </w:r>
          </w:p>
        </w:tc>
        <w:tc>
          <w:tcPr>
            <w:tcW w:w="893" w:type="dxa"/>
            <w:tcMar>
              <w:top w:w="20" w:type="dxa"/>
              <w:left w:w="20" w:type="dxa"/>
              <w:bottom w:w="0" w:type="dxa"/>
              <w:right w:w="20" w:type="dxa"/>
            </w:tcMar>
            <w:vAlign w:val="center"/>
          </w:tcPr>
          <w:p w14:paraId="2CC342C1">
            <w:pPr>
              <w:spacing w:line="240" w:lineRule="auto"/>
              <w:ind w:firstLine="0" w:firstLineChars="0"/>
              <w:jc w:val="center"/>
              <w:rPr>
                <w:bCs/>
                <w:sz w:val="21"/>
                <w:szCs w:val="21"/>
                <w:highlight w:val="none"/>
              </w:rPr>
            </w:pPr>
            <w:r>
              <w:rPr>
                <w:rFonts w:hint="eastAsia"/>
                <w:bCs/>
                <w:sz w:val="21"/>
                <w:szCs w:val="21"/>
                <w:highlight w:val="none"/>
              </w:rPr>
              <w:t>40</w:t>
            </w:r>
          </w:p>
        </w:tc>
        <w:tc>
          <w:tcPr>
            <w:tcW w:w="893" w:type="dxa"/>
            <w:tcMar>
              <w:top w:w="20" w:type="dxa"/>
              <w:left w:w="20" w:type="dxa"/>
              <w:bottom w:w="0" w:type="dxa"/>
              <w:right w:w="20" w:type="dxa"/>
            </w:tcMar>
            <w:vAlign w:val="center"/>
          </w:tcPr>
          <w:p w14:paraId="59E4C02D">
            <w:pPr>
              <w:spacing w:line="240" w:lineRule="auto"/>
              <w:ind w:firstLine="0" w:firstLineChars="0"/>
              <w:jc w:val="center"/>
              <w:rPr>
                <w:bCs/>
                <w:sz w:val="21"/>
                <w:szCs w:val="21"/>
                <w:highlight w:val="none"/>
              </w:rPr>
            </w:pPr>
            <w:r>
              <w:rPr>
                <w:rFonts w:hint="eastAsia"/>
                <w:bCs/>
                <w:sz w:val="21"/>
                <w:szCs w:val="21"/>
                <w:highlight w:val="none"/>
              </w:rPr>
              <w:t>70</w:t>
            </w:r>
          </w:p>
        </w:tc>
        <w:tc>
          <w:tcPr>
            <w:tcW w:w="893" w:type="dxa"/>
            <w:tcMar>
              <w:top w:w="20" w:type="dxa"/>
              <w:left w:w="20" w:type="dxa"/>
              <w:bottom w:w="0" w:type="dxa"/>
              <w:right w:w="20" w:type="dxa"/>
            </w:tcMar>
            <w:vAlign w:val="center"/>
          </w:tcPr>
          <w:p w14:paraId="37AD64ED">
            <w:pPr>
              <w:spacing w:line="240" w:lineRule="auto"/>
              <w:ind w:firstLine="0" w:firstLineChars="0"/>
              <w:jc w:val="center"/>
              <w:rPr>
                <w:bCs/>
                <w:sz w:val="21"/>
                <w:szCs w:val="21"/>
                <w:highlight w:val="none"/>
              </w:rPr>
            </w:pPr>
            <w:r>
              <w:rPr>
                <w:rFonts w:hint="eastAsia"/>
                <w:bCs/>
                <w:sz w:val="21"/>
                <w:szCs w:val="21"/>
                <w:highlight w:val="none"/>
              </w:rPr>
              <w:t>100</w:t>
            </w:r>
          </w:p>
        </w:tc>
        <w:tc>
          <w:tcPr>
            <w:tcW w:w="893" w:type="dxa"/>
            <w:tcMar>
              <w:top w:w="20" w:type="dxa"/>
              <w:left w:w="20" w:type="dxa"/>
              <w:bottom w:w="0" w:type="dxa"/>
              <w:right w:w="20" w:type="dxa"/>
            </w:tcMar>
            <w:vAlign w:val="center"/>
          </w:tcPr>
          <w:p w14:paraId="1205A521">
            <w:pPr>
              <w:spacing w:line="240" w:lineRule="auto"/>
              <w:ind w:firstLine="0" w:firstLineChars="0"/>
              <w:jc w:val="center"/>
              <w:rPr>
                <w:bCs/>
                <w:sz w:val="21"/>
                <w:szCs w:val="21"/>
                <w:highlight w:val="none"/>
              </w:rPr>
            </w:pPr>
            <w:r>
              <w:rPr>
                <w:rFonts w:hint="eastAsia"/>
                <w:bCs/>
                <w:sz w:val="21"/>
                <w:szCs w:val="21"/>
                <w:highlight w:val="none"/>
              </w:rPr>
              <w:t>200</w:t>
            </w:r>
          </w:p>
        </w:tc>
        <w:tc>
          <w:tcPr>
            <w:tcW w:w="893" w:type="dxa"/>
            <w:tcMar>
              <w:top w:w="20" w:type="dxa"/>
              <w:left w:w="20" w:type="dxa"/>
              <w:bottom w:w="0" w:type="dxa"/>
              <w:right w:w="20" w:type="dxa"/>
            </w:tcMar>
            <w:vAlign w:val="center"/>
          </w:tcPr>
          <w:p w14:paraId="7D9C8BF8">
            <w:pPr>
              <w:spacing w:line="240" w:lineRule="auto"/>
              <w:ind w:firstLine="0" w:firstLineChars="0"/>
              <w:jc w:val="center"/>
              <w:rPr>
                <w:bCs/>
                <w:sz w:val="21"/>
                <w:szCs w:val="21"/>
                <w:highlight w:val="none"/>
              </w:rPr>
            </w:pPr>
            <w:r>
              <w:rPr>
                <w:rFonts w:hint="eastAsia"/>
                <w:bCs/>
                <w:sz w:val="21"/>
                <w:szCs w:val="21"/>
                <w:highlight w:val="none"/>
              </w:rPr>
              <w:t>500</w:t>
            </w:r>
          </w:p>
        </w:tc>
        <w:tc>
          <w:tcPr>
            <w:tcW w:w="1356" w:type="dxa"/>
            <w:tcMar>
              <w:top w:w="20" w:type="dxa"/>
              <w:left w:w="20" w:type="dxa"/>
              <w:bottom w:w="0" w:type="dxa"/>
              <w:right w:w="20" w:type="dxa"/>
            </w:tcMar>
            <w:vAlign w:val="center"/>
          </w:tcPr>
          <w:p w14:paraId="79B2B701">
            <w:pPr>
              <w:spacing w:line="240" w:lineRule="auto"/>
              <w:ind w:firstLine="0" w:firstLineChars="0"/>
              <w:jc w:val="center"/>
              <w:rPr>
                <w:bCs/>
                <w:sz w:val="21"/>
                <w:szCs w:val="21"/>
                <w:highlight w:val="none"/>
              </w:rPr>
            </w:pPr>
            <w:r>
              <w:rPr>
                <w:rFonts w:hint="eastAsia"/>
                <w:bCs/>
                <w:sz w:val="21"/>
                <w:szCs w:val="21"/>
                <w:highlight w:val="none"/>
              </w:rPr>
              <w:t>≥1000</w:t>
            </w:r>
          </w:p>
        </w:tc>
      </w:tr>
      <w:tr w14:paraId="08676641">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201" w:type="dxa"/>
            <w:tcMar>
              <w:top w:w="20" w:type="dxa"/>
              <w:left w:w="20" w:type="dxa"/>
              <w:bottom w:w="0" w:type="dxa"/>
              <w:right w:w="20" w:type="dxa"/>
            </w:tcMar>
            <w:vAlign w:val="center"/>
          </w:tcPr>
          <w:p w14:paraId="6A28075A">
            <w:pPr>
              <w:spacing w:line="240" w:lineRule="auto"/>
              <w:ind w:firstLine="0" w:firstLineChars="0"/>
              <w:jc w:val="center"/>
              <w:rPr>
                <w:bCs/>
                <w:sz w:val="21"/>
                <w:szCs w:val="21"/>
                <w:highlight w:val="none"/>
              </w:rPr>
            </w:pPr>
            <w:r>
              <w:rPr>
                <w:rFonts w:hint="eastAsia"/>
                <w:bCs/>
                <w:sz w:val="21"/>
                <w:szCs w:val="21"/>
                <w:highlight w:val="none"/>
              </w:rPr>
              <w:t>总变化系数</w:t>
            </w:r>
          </w:p>
        </w:tc>
        <w:tc>
          <w:tcPr>
            <w:tcW w:w="894" w:type="dxa"/>
            <w:tcMar>
              <w:top w:w="20" w:type="dxa"/>
              <w:left w:w="20" w:type="dxa"/>
              <w:bottom w:w="0" w:type="dxa"/>
              <w:right w:w="20" w:type="dxa"/>
            </w:tcMar>
            <w:vAlign w:val="center"/>
          </w:tcPr>
          <w:p w14:paraId="1CAEF2D8">
            <w:pPr>
              <w:spacing w:line="240" w:lineRule="auto"/>
              <w:ind w:firstLine="0" w:firstLineChars="0"/>
              <w:jc w:val="center"/>
              <w:rPr>
                <w:bCs/>
                <w:sz w:val="21"/>
                <w:szCs w:val="21"/>
                <w:highlight w:val="none"/>
              </w:rPr>
            </w:pPr>
            <w:r>
              <w:rPr>
                <w:rFonts w:hint="eastAsia"/>
                <w:bCs/>
                <w:sz w:val="21"/>
                <w:szCs w:val="21"/>
                <w:highlight w:val="none"/>
              </w:rPr>
              <w:t>2.3</w:t>
            </w:r>
          </w:p>
        </w:tc>
        <w:tc>
          <w:tcPr>
            <w:tcW w:w="894" w:type="dxa"/>
            <w:tcMar>
              <w:top w:w="20" w:type="dxa"/>
              <w:left w:w="20" w:type="dxa"/>
              <w:bottom w:w="0" w:type="dxa"/>
              <w:right w:w="20" w:type="dxa"/>
            </w:tcMar>
            <w:vAlign w:val="center"/>
          </w:tcPr>
          <w:p w14:paraId="7EA71890">
            <w:pPr>
              <w:spacing w:line="240" w:lineRule="auto"/>
              <w:ind w:firstLine="0" w:firstLineChars="0"/>
              <w:jc w:val="center"/>
              <w:rPr>
                <w:bCs/>
                <w:sz w:val="21"/>
                <w:szCs w:val="21"/>
                <w:highlight w:val="none"/>
              </w:rPr>
            </w:pPr>
            <w:r>
              <w:rPr>
                <w:rFonts w:hint="eastAsia"/>
                <w:bCs/>
                <w:sz w:val="21"/>
                <w:szCs w:val="21"/>
                <w:highlight w:val="none"/>
              </w:rPr>
              <w:t>2.0</w:t>
            </w:r>
          </w:p>
        </w:tc>
        <w:tc>
          <w:tcPr>
            <w:tcW w:w="893" w:type="dxa"/>
            <w:tcMar>
              <w:top w:w="20" w:type="dxa"/>
              <w:left w:w="20" w:type="dxa"/>
              <w:bottom w:w="0" w:type="dxa"/>
              <w:right w:w="20" w:type="dxa"/>
            </w:tcMar>
            <w:vAlign w:val="center"/>
          </w:tcPr>
          <w:p w14:paraId="6B66532E">
            <w:pPr>
              <w:spacing w:line="240" w:lineRule="auto"/>
              <w:ind w:firstLine="0" w:firstLineChars="0"/>
              <w:jc w:val="center"/>
              <w:rPr>
                <w:bCs/>
                <w:sz w:val="21"/>
                <w:szCs w:val="21"/>
                <w:highlight w:val="none"/>
              </w:rPr>
            </w:pPr>
            <w:r>
              <w:rPr>
                <w:rFonts w:hint="eastAsia"/>
                <w:bCs/>
                <w:sz w:val="21"/>
                <w:szCs w:val="21"/>
                <w:highlight w:val="none"/>
              </w:rPr>
              <w:t>1.8</w:t>
            </w:r>
          </w:p>
        </w:tc>
        <w:tc>
          <w:tcPr>
            <w:tcW w:w="893" w:type="dxa"/>
            <w:tcMar>
              <w:top w:w="20" w:type="dxa"/>
              <w:left w:w="20" w:type="dxa"/>
              <w:bottom w:w="0" w:type="dxa"/>
              <w:right w:w="20" w:type="dxa"/>
            </w:tcMar>
            <w:vAlign w:val="center"/>
          </w:tcPr>
          <w:p w14:paraId="4F920A1D">
            <w:pPr>
              <w:spacing w:line="240" w:lineRule="auto"/>
              <w:ind w:firstLine="0" w:firstLineChars="0"/>
              <w:jc w:val="center"/>
              <w:rPr>
                <w:bCs/>
                <w:sz w:val="21"/>
                <w:szCs w:val="21"/>
                <w:highlight w:val="none"/>
              </w:rPr>
            </w:pPr>
            <w:r>
              <w:rPr>
                <w:rFonts w:hint="eastAsia"/>
                <w:bCs/>
                <w:sz w:val="21"/>
                <w:szCs w:val="21"/>
                <w:highlight w:val="none"/>
              </w:rPr>
              <w:t>1.7</w:t>
            </w:r>
          </w:p>
        </w:tc>
        <w:tc>
          <w:tcPr>
            <w:tcW w:w="893" w:type="dxa"/>
            <w:tcMar>
              <w:top w:w="20" w:type="dxa"/>
              <w:left w:w="20" w:type="dxa"/>
              <w:bottom w:w="0" w:type="dxa"/>
              <w:right w:w="20" w:type="dxa"/>
            </w:tcMar>
            <w:vAlign w:val="center"/>
          </w:tcPr>
          <w:p w14:paraId="309AE4DC">
            <w:pPr>
              <w:spacing w:line="240" w:lineRule="auto"/>
              <w:ind w:firstLine="0" w:firstLineChars="0"/>
              <w:jc w:val="center"/>
              <w:rPr>
                <w:bCs/>
                <w:sz w:val="21"/>
                <w:szCs w:val="21"/>
                <w:highlight w:val="none"/>
              </w:rPr>
            </w:pPr>
            <w:r>
              <w:rPr>
                <w:rFonts w:hint="eastAsia"/>
                <w:bCs/>
                <w:sz w:val="21"/>
                <w:szCs w:val="21"/>
                <w:highlight w:val="none"/>
              </w:rPr>
              <w:t>1.6</w:t>
            </w:r>
          </w:p>
        </w:tc>
        <w:tc>
          <w:tcPr>
            <w:tcW w:w="893" w:type="dxa"/>
            <w:tcMar>
              <w:top w:w="20" w:type="dxa"/>
              <w:left w:w="20" w:type="dxa"/>
              <w:bottom w:w="0" w:type="dxa"/>
              <w:right w:w="20" w:type="dxa"/>
            </w:tcMar>
            <w:vAlign w:val="center"/>
          </w:tcPr>
          <w:p w14:paraId="414A9C18">
            <w:pPr>
              <w:spacing w:line="240" w:lineRule="auto"/>
              <w:ind w:firstLine="0" w:firstLineChars="0"/>
              <w:jc w:val="center"/>
              <w:rPr>
                <w:bCs/>
                <w:sz w:val="21"/>
                <w:szCs w:val="21"/>
                <w:highlight w:val="none"/>
              </w:rPr>
            </w:pPr>
            <w:r>
              <w:rPr>
                <w:rFonts w:hint="eastAsia"/>
                <w:bCs/>
                <w:sz w:val="21"/>
                <w:szCs w:val="21"/>
                <w:highlight w:val="none"/>
              </w:rPr>
              <w:t>1.5</w:t>
            </w:r>
          </w:p>
        </w:tc>
        <w:tc>
          <w:tcPr>
            <w:tcW w:w="893" w:type="dxa"/>
            <w:tcMar>
              <w:top w:w="20" w:type="dxa"/>
              <w:left w:w="20" w:type="dxa"/>
              <w:bottom w:w="0" w:type="dxa"/>
              <w:right w:w="20" w:type="dxa"/>
            </w:tcMar>
            <w:vAlign w:val="center"/>
          </w:tcPr>
          <w:p w14:paraId="66532C31">
            <w:pPr>
              <w:spacing w:line="240" w:lineRule="auto"/>
              <w:ind w:firstLine="0" w:firstLineChars="0"/>
              <w:jc w:val="center"/>
              <w:rPr>
                <w:bCs/>
                <w:sz w:val="21"/>
                <w:szCs w:val="21"/>
                <w:highlight w:val="none"/>
              </w:rPr>
            </w:pPr>
            <w:r>
              <w:rPr>
                <w:rFonts w:hint="eastAsia"/>
                <w:bCs/>
                <w:sz w:val="21"/>
                <w:szCs w:val="21"/>
                <w:highlight w:val="none"/>
              </w:rPr>
              <w:t>1.4</w:t>
            </w:r>
          </w:p>
        </w:tc>
        <w:tc>
          <w:tcPr>
            <w:tcW w:w="1356" w:type="dxa"/>
            <w:tcMar>
              <w:top w:w="20" w:type="dxa"/>
              <w:left w:w="20" w:type="dxa"/>
              <w:bottom w:w="0" w:type="dxa"/>
              <w:right w:w="20" w:type="dxa"/>
            </w:tcMar>
            <w:vAlign w:val="center"/>
          </w:tcPr>
          <w:p w14:paraId="1FD34E16">
            <w:pPr>
              <w:spacing w:line="240" w:lineRule="auto"/>
              <w:ind w:firstLine="0" w:firstLineChars="0"/>
              <w:jc w:val="center"/>
              <w:rPr>
                <w:bCs/>
                <w:sz w:val="21"/>
                <w:szCs w:val="21"/>
                <w:highlight w:val="none"/>
              </w:rPr>
            </w:pPr>
            <w:r>
              <w:rPr>
                <w:rFonts w:hint="eastAsia"/>
                <w:bCs/>
                <w:sz w:val="21"/>
                <w:szCs w:val="21"/>
                <w:highlight w:val="none"/>
              </w:rPr>
              <w:t>1.3</w:t>
            </w:r>
          </w:p>
        </w:tc>
      </w:tr>
    </w:tbl>
    <w:p w14:paraId="01CA914D">
      <w:pPr>
        <w:ind w:firstLine="480"/>
        <w:rPr>
          <w:highlight w:val="none"/>
        </w:rPr>
      </w:pPr>
      <w:r>
        <w:rPr>
          <w:rFonts w:hint="eastAsia"/>
          <w:highlight w:val="none"/>
        </w:rPr>
        <w:t>（</w:t>
      </w:r>
      <w:r>
        <w:rPr>
          <w:highlight w:val="none"/>
        </w:rPr>
        <w:t>2</w:t>
      </w:r>
      <w:r>
        <w:rPr>
          <w:rFonts w:hint="eastAsia"/>
          <w:highlight w:val="none"/>
        </w:rPr>
        <w:t>）污水管道充满度及流速控制：</w:t>
      </w:r>
    </w:p>
    <w:p w14:paraId="5334E79A">
      <w:pPr>
        <w:ind w:firstLine="480"/>
        <w:rPr>
          <w:highlight w:val="none"/>
        </w:rPr>
      </w:pPr>
      <w:r>
        <w:rPr>
          <w:rFonts w:hint="eastAsia"/>
          <w:highlight w:val="none"/>
        </w:rPr>
        <w:t>重力流污水管道按非满流设计，详见下表所示：</w:t>
      </w:r>
    </w:p>
    <w:p w14:paraId="2FA5D45E">
      <w:pPr>
        <w:ind w:firstLine="0" w:firstLineChars="0"/>
        <w:jc w:val="center"/>
        <w:rPr>
          <w:b/>
          <w:bCs/>
          <w:highlight w:val="none"/>
        </w:rPr>
      </w:pPr>
      <w:r>
        <w:rPr>
          <w:rFonts w:hint="eastAsia"/>
          <w:b/>
          <w:bCs/>
          <w:highlight w:val="none"/>
        </w:rPr>
        <w:t>最大设计充满度表</w:t>
      </w:r>
    </w:p>
    <w:tbl>
      <w:tblPr>
        <w:tblStyle w:val="20"/>
        <w:tblW w:w="9461" w:type="dxa"/>
        <w:jc w:val="cente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Layout w:type="fixed"/>
        <w:tblCellMar>
          <w:top w:w="0" w:type="dxa"/>
          <w:left w:w="108" w:type="dxa"/>
          <w:bottom w:w="0" w:type="dxa"/>
          <w:right w:w="108" w:type="dxa"/>
        </w:tblCellMar>
      </w:tblPr>
      <w:tblGrid>
        <w:gridCol w:w="4726"/>
        <w:gridCol w:w="4735"/>
      </w:tblGrid>
      <w:tr w14:paraId="6B4CFFFE">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4726" w:type="dxa"/>
            <w:vAlign w:val="center"/>
          </w:tcPr>
          <w:p w14:paraId="07D0E754">
            <w:pPr>
              <w:spacing w:line="240" w:lineRule="auto"/>
              <w:ind w:firstLine="0" w:firstLineChars="0"/>
              <w:jc w:val="center"/>
              <w:rPr>
                <w:bCs/>
                <w:sz w:val="21"/>
                <w:szCs w:val="21"/>
                <w:highlight w:val="none"/>
              </w:rPr>
            </w:pPr>
            <w:r>
              <w:rPr>
                <w:rFonts w:hint="eastAsia"/>
                <w:bCs/>
                <w:sz w:val="21"/>
                <w:szCs w:val="21"/>
                <w:highlight w:val="none"/>
              </w:rPr>
              <w:t>管径（mm）</w:t>
            </w:r>
          </w:p>
        </w:tc>
        <w:tc>
          <w:tcPr>
            <w:tcW w:w="4735" w:type="dxa"/>
            <w:vAlign w:val="center"/>
          </w:tcPr>
          <w:p w14:paraId="7447386F">
            <w:pPr>
              <w:spacing w:line="240" w:lineRule="auto"/>
              <w:ind w:firstLine="0" w:firstLineChars="0"/>
              <w:jc w:val="center"/>
              <w:rPr>
                <w:bCs/>
                <w:sz w:val="21"/>
                <w:szCs w:val="21"/>
                <w:highlight w:val="none"/>
              </w:rPr>
            </w:pPr>
            <w:r>
              <w:rPr>
                <w:rFonts w:hint="eastAsia"/>
                <w:bCs/>
                <w:sz w:val="21"/>
                <w:szCs w:val="21"/>
                <w:highlight w:val="none"/>
              </w:rPr>
              <w:t>最大设计充满度</w:t>
            </w:r>
          </w:p>
        </w:tc>
      </w:tr>
      <w:tr w14:paraId="547256E9">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4726" w:type="dxa"/>
            <w:vAlign w:val="center"/>
          </w:tcPr>
          <w:p w14:paraId="0405B547">
            <w:pPr>
              <w:spacing w:line="240" w:lineRule="auto"/>
              <w:ind w:firstLine="0" w:firstLineChars="0"/>
              <w:jc w:val="center"/>
              <w:rPr>
                <w:bCs/>
                <w:sz w:val="21"/>
                <w:szCs w:val="21"/>
                <w:highlight w:val="none"/>
              </w:rPr>
            </w:pPr>
            <w:r>
              <w:rPr>
                <w:rFonts w:hint="eastAsia"/>
                <w:bCs/>
                <w:sz w:val="21"/>
                <w:szCs w:val="21"/>
                <w:highlight w:val="none"/>
              </w:rPr>
              <w:t>200～300</w:t>
            </w:r>
          </w:p>
        </w:tc>
        <w:tc>
          <w:tcPr>
            <w:tcW w:w="4735" w:type="dxa"/>
            <w:vAlign w:val="center"/>
          </w:tcPr>
          <w:p w14:paraId="6A081DF6">
            <w:pPr>
              <w:spacing w:line="240" w:lineRule="auto"/>
              <w:ind w:firstLine="0" w:firstLineChars="0"/>
              <w:jc w:val="center"/>
              <w:rPr>
                <w:bCs/>
                <w:sz w:val="21"/>
                <w:szCs w:val="21"/>
                <w:highlight w:val="none"/>
              </w:rPr>
            </w:pPr>
            <w:r>
              <w:rPr>
                <w:rFonts w:hint="eastAsia"/>
                <w:bCs/>
                <w:sz w:val="21"/>
                <w:szCs w:val="21"/>
                <w:highlight w:val="none"/>
              </w:rPr>
              <w:t>0.55</w:t>
            </w:r>
          </w:p>
        </w:tc>
      </w:tr>
      <w:tr w14:paraId="0D93D214">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4726" w:type="dxa"/>
            <w:vAlign w:val="center"/>
          </w:tcPr>
          <w:p w14:paraId="417CFBBE">
            <w:pPr>
              <w:spacing w:line="240" w:lineRule="auto"/>
              <w:ind w:firstLine="0" w:firstLineChars="0"/>
              <w:jc w:val="center"/>
              <w:rPr>
                <w:bCs/>
                <w:sz w:val="21"/>
                <w:szCs w:val="21"/>
                <w:highlight w:val="none"/>
              </w:rPr>
            </w:pPr>
            <w:r>
              <w:rPr>
                <w:rFonts w:hint="eastAsia"/>
                <w:bCs/>
                <w:sz w:val="21"/>
                <w:szCs w:val="21"/>
                <w:highlight w:val="none"/>
              </w:rPr>
              <w:t>350～450</w:t>
            </w:r>
          </w:p>
        </w:tc>
        <w:tc>
          <w:tcPr>
            <w:tcW w:w="4735" w:type="dxa"/>
            <w:vAlign w:val="center"/>
          </w:tcPr>
          <w:p w14:paraId="72D26C5B">
            <w:pPr>
              <w:spacing w:line="240" w:lineRule="auto"/>
              <w:ind w:firstLine="0" w:firstLineChars="0"/>
              <w:jc w:val="center"/>
              <w:rPr>
                <w:bCs/>
                <w:sz w:val="21"/>
                <w:szCs w:val="21"/>
                <w:highlight w:val="none"/>
              </w:rPr>
            </w:pPr>
            <w:r>
              <w:rPr>
                <w:rFonts w:hint="eastAsia"/>
                <w:bCs/>
                <w:sz w:val="21"/>
                <w:szCs w:val="21"/>
                <w:highlight w:val="none"/>
              </w:rPr>
              <w:t>0.65</w:t>
            </w:r>
          </w:p>
        </w:tc>
      </w:tr>
      <w:tr w14:paraId="72853642">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4726" w:type="dxa"/>
            <w:vAlign w:val="center"/>
          </w:tcPr>
          <w:p w14:paraId="7AEEF5D8">
            <w:pPr>
              <w:spacing w:line="240" w:lineRule="auto"/>
              <w:ind w:firstLine="0" w:firstLineChars="0"/>
              <w:jc w:val="center"/>
              <w:rPr>
                <w:bCs/>
                <w:sz w:val="21"/>
                <w:szCs w:val="21"/>
                <w:highlight w:val="none"/>
              </w:rPr>
            </w:pPr>
            <w:r>
              <w:rPr>
                <w:rFonts w:hint="eastAsia"/>
                <w:bCs/>
                <w:sz w:val="21"/>
                <w:szCs w:val="21"/>
                <w:highlight w:val="none"/>
              </w:rPr>
              <w:t>500～900</w:t>
            </w:r>
          </w:p>
        </w:tc>
        <w:tc>
          <w:tcPr>
            <w:tcW w:w="4735" w:type="dxa"/>
            <w:vAlign w:val="center"/>
          </w:tcPr>
          <w:p w14:paraId="3C5A6298">
            <w:pPr>
              <w:spacing w:line="240" w:lineRule="auto"/>
              <w:ind w:firstLine="0" w:firstLineChars="0"/>
              <w:jc w:val="center"/>
              <w:rPr>
                <w:bCs/>
                <w:sz w:val="21"/>
                <w:szCs w:val="21"/>
                <w:highlight w:val="none"/>
              </w:rPr>
            </w:pPr>
            <w:r>
              <w:rPr>
                <w:rFonts w:hint="eastAsia"/>
                <w:bCs/>
                <w:sz w:val="21"/>
                <w:szCs w:val="21"/>
                <w:highlight w:val="none"/>
              </w:rPr>
              <w:t>0.70</w:t>
            </w:r>
          </w:p>
        </w:tc>
      </w:tr>
      <w:tr w14:paraId="3739CDBC">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4726" w:type="dxa"/>
            <w:vAlign w:val="center"/>
          </w:tcPr>
          <w:p w14:paraId="7B7F8865">
            <w:pPr>
              <w:spacing w:line="240" w:lineRule="auto"/>
              <w:ind w:firstLine="0" w:firstLineChars="0"/>
              <w:jc w:val="center"/>
              <w:rPr>
                <w:bCs/>
                <w:sz w:val="21"/>
                <w:szCs w:val="21"/>
                <w:highlight w:val="none"/>
              </w:rPr>
            </w:pPr>
            <w:r>
              <w:rPr>
                <w:rFonts w:hint="eastAsia"/>
                <w:bCs/>
                <w:sz w:val="21"/>
                <w:szCs w:val="21"/>
                <w:highlight w:val="none"/>
              </w:rPr>
              <w:t>≥d1000</w:t>
            </w:r>
          </w:p>
        </w:tc>
        <w:tc>
          <w:tcPr>
            <w:tcW w:w="4735" w:type="dxa"/>
            <w:vAlign w:val="center"/>
          </w:tcPr>
          <w:p w14:paraId="66A085CC">
            <w:pPr>
              <w:spacing w:line="240" w:lineRule="auto"/>
              <w:ind w:firstLine="0" w:firstLineChars="0"/>
              <w:jc w:val="center"/>
              <w:rPr>
                <w:bCs/>
                <w:sz w:val="21"/>
                <w:szCs w:val="21"/>
                <w:highlight w:val="none"/>
              </w:rPr>
            </w:pPr>
            <w:r>
              <w:rPr>
                <w:rFonts w:hint="eastAsia"/>
                <w:bCs/>
                <w:sz w:val="21"/>
                <w:szCs w:val="21"/>
                <w:highlight w:val="none"/>
              </w:rPr>
              <w:t>0.75</w:t>
            </w:r>
          </w:p>
        </w:tc>
      </w:tr>
    </w:tbl>
    <w:p w14:paraId="55919F9A">
      <w:pPr>
        <w:ind w:firstLine="480"/>
        <w:rPr>
          <w:rFonts w:hint="eastAsia" w:eastAsia="宋体"/>
          <w:highlight w:val="none"/>
          <w:lang w:val="en-US" w:eastAsia="zh-CN"/>
        </w:rPr>
      </w:pPr>
      <w:r>
        <w:rPr>
          <w:rFonts w:hint="eastAsia"/>
          <w:highlight w:val="none"/>
        </w:rPr>
        <w:t>注：污水管道在设计充满度时的最小流速为</w:t>
      </w:r>
      <w:r>
        <w:rPr>
          <w:highlight w:val="none"/>
        </w:rPr>
        <w:t>0.6m/s</w:t>
      </w:r>
      <w:r>
        <w:rPr>
          <w:rFonts w:hint="eastAsia"/>
          <w:highlight w:val="none"/>
        </w:rPr>
        <w:t>。</w:t>
      </w:r>
    </w:p>
    <w:p w14:paraId="0892F62E">
      <w:pPr>
        <w:ind w:firstLine="480"/>
        <w:rPr>
          <w:highlight w:val="none"/>
        </w:rPr>
      </w:pPr>
      <w:r>
        <w:rPr>
          <w:rFonts w:hint="eastAsia"/>
          <w:highlight w:val="none"/>
        </w:rPr>
        <w:t>（</w:t>
      </w:r>
      <w:r>
        <w:rPr>
          <w:highlight w:val="none"/>
        </w:rPr>
        <w:t>3</w:t>
      </w:r>
      <w:r>
        <w:rPr>
          <w:rFonts w:hint="eastAsia"/>
          <w:highlight w:val="none"/>
        </w:rPr>
        <w:t>）污水管道一般采用管顶平接，特殊情况下可采用水面平接。</w:t>
      </w:r>
    </w:p>
    <w:p w14:paraId="08FAF1C5">
      <w:pPr>
        <w:ind w:firstLine="480"/>
        <w:rPr>
          <w:highlight w:val="none"/>
        </w:rPr>
      </w:pPr>
      <w:r>
        <w:rPr>
          <w:rFonts w:hint="eastAsia"/>
          <w:highlight w:val="none"/>
        </w:rPr>
        <w:t>（</w:t>
      </w:r>
      <w:r>
        <w:rPr>
          <w:highlight w:val="none"/>
        </w:rPr>
        <w:t>4</w:t>
      </w:r>
      <w:r>
        <w:rPr>
          <w:rFonts w:hint="eastAsia"/>
          <w:highlight w:val="none"/>
        </w:rPr>
        <w:t>）污水管道应做闭水试验，具体做法参照《给水排水管道工程施工及验收规范》（</w:t>
      </w:r>
      <w:r>
        <w:rPr>
          <w:highlight w:val="none"/>
        </w:rPr>
        <w:t>GB50268-2008</w:t>
      </w:r>
      <w:r>
        <w:rPr>
          <w:rFonts w:hint="eastAsia"/>
          <w:highlight w:val="none"/>
        </w:rPr>
        <w:t>）执行，依据</w:t>
      </w:r>
      <w:r>
        <w:rPr>
          <w:rFonts w:hint="eastAsia" w:ascii="宋体" w:hAnsi="宋体" w:eastAsia="宋体" w:cs="Times New Roman"/>
          <w:color w:val="auto"/>
          <w:sz w:val="24"/>
          <w:highlight w:val="none"/>
        </w:rPr>
        <w:t>《室外排水设计标准》（GB50014－20</w:t>
      </w:r>
      <w:r>
        <w:rPr>
          <w:rFonts w:hint="eastAsia" w:ascii="宋体" w:hAnsi="宋体" w:eastAsia="宋体" w:cs="Times New Roman"/>
          <w:color w:val="auto"/>
          <w:sz w:val="24"/>
          <w:highlight w:val="none"/>
          <w:lang w:val="en-US" w:eastAsia="zh-CN"/>
        </w:rPr>
        <w:t>21</w:t>
      </w:r>
      <w:r>
        <w:rPr>
          <w:rFonts w:hint="eastAsia" w:ascii="宋体" w:hAnsi="宋体" w:eastAsia="宋体" w:cs="Times New Roman"/>
          <w:color w:val="auto"/>
          <w:sz w:val="24"/>
          <w:highlight w:val="none"/>
        </w:rPr>
        <w:t>）</w:t>
      </w:r>
      <w:r>
        <w:rPr>
          <w:rFonts w:hint="eastAsia"/>
          <w:highlight w:val="none"/>
        </w:rPr>
        <w:t>规定：污水和合流污水检查井应进行闭水试验。</w:t>
      </w:r>
    </w:p>
    <w:p w14:paraId="1E19C8BE">
      <w:pPr>
        <w:pStyle w:val="4"/>
        <w:spacing w:before="163" w:after="163"/>
        <w:ind w:firstLine="560"/>
        <w:rPr>
          <w:color w:val="auto"/>
          <w:highlight w:val="none"/>
        </w:rPr>
      </w:pPr>
      <w:bookmarkStart w:id="16" w:name="_Toc21287"/>
      <w:r>
        <w:rPr>
          <w:rFonts w:hint="eastAsia"/>
          <w:color w:val="auto"/>
          <w:highlight w:val="none"/>
        </w:rPr>
        <w:t>设计内容</w:t>
      </w:r>
      <w:bookmarkEnd w:id="16"/>
    </w:p>
    <w:p w14:paraId="5E36E103">
      <w:pPr>
        <w:pStyle w:val="5"/>
        <w:ind w:firstLine="482"/>
        <w:rPr>
          <w:color w:val="auto"/>
          <w:highlight w:val="none"/>
        </w:rPr>
      </w:pPr>
      <w:r>
        <w:rPr>
          <w:rFonts w:hint="eastAsia"/>
          <w:color w:val="auto"/>
          <w:highlight w:val="none"/>
        </w:rPr>
        <w:t>雨水系统及排水出路</w:t>
      </w:r>
    </w:p>
    <w:p w14:paraId="7A630E92">
      <w:pPr>
        <w:ind w:firstLine="480"/>
        <w:rPr>
          <w:highlight w:val="none"/>
        </w:rPr>
      </w:pPr>
      <w:r>
        <w:rPr>
          <w:rFonts w:hint="eastAsia"/>
          <w:highlight w:val="none"/>
        </w:rPr>
        <w:t>本次工程设计范围内的雨水管道考虑收集路面雨水、道路两侧街坊地块的雨水。雨水管道结合管线规划和现状情况进行布置，规划雨水管排水方向为永安东路自西向东接入支路四，再沿支路四向北接入支路一规划雨水管。因支路四北部征地问题等原因，近期雨水无现状管网可接入，暂时往南排放。因此，雨水排向考虑为永安东路自西向东接入支路四后，近期沿支路四向南接入花都大道现状雨水管。远期北侧规划管网实施完成后，建设单位自行改造为向北排水，沿支路四向北接入北部管网。</w:t>
      </w:r>
    </w:p>
    <w:p w14:paraId="4532F91D">
      <w:pPr>
        <w:pStyle w:val="5"/>
        <w:ind w:firstLine="482"/>
        <w:rPr>
          <w:color w:val="auto"/>
          <w:highlight w:val="none"/>
        </w:rPr>
      </w:pPr>
      <w:r>
        <w:rPr>
          <w:rFonts w:hint="eastAsia"/>
          <w:color w:val="auto"/>
          <w:highlight w:val="none"/>
        </w:rPr>
        <w:t>污水系统及排水出路</w:t>
      </w:r>
    </w:p>
    <w:p w14:paraId="4F8BB3F6">
      <w:pPr>
        <w:ind w:firstLine="480"/>
        <w:rPr>
          <w:highlight w:val="none"/>
        </w:rPr>
      </w:pPr>
      <w:r>
        <w:rPr>
          <w:rFonts w:hint="eastAsia"/>
          <w:highlight w:val="none"/>
        </w:rPr>
        <w:t>本工程设计污水管主要收集道路两侧街坊地块的污水。污水管道结合现状地形、用地权属及周边土地利用规划进行临时布置，永安东路收集后的污水排入</w:t>
      </w:r>
      <w:r>
        <w:rPr>
          <w:rFonts w:hint="eastAsia" w:hAnsi="宋体"/>
          <w:bCs/>
          <w:highlight w:val="none"/>
        </w:rPr>
        <w:t>地块二东侧</w:t>
      </w:r>
      <w:r>
        <w:rPr>
          <w:rFonts w:hint="eastAsia"/>
          <w:highlight w:val="none"/>
        </w:rPr>
        <w:t>的临时道路设计污水管道，其后向南侧的污水管道方向排出，最终通过管道转输至花东污水处理厂。</w:t>
      </w:r>
    </w:p>
    <w:p w14:paraId="3D83C9D2">
      <w:pPr>
        <w:pStyle w:val="5"/>
        <w:ind w:firstLine="482"/>
        <w:rPr>
          <w:color w:val="auto"/>
          <w:highlight w:val="none"/>
        </w:rPr>
      </w:pPr>
      <w:r>
        <w:rPr>
          <w:rFonts w:hint="eastAsia"/>
          <w:color w:val="auto"/>
          <w:highlight w:val="none"/>
        </w:rPr>
        <w:t>雨水工程设计</w:t>
      </w:r>
    </w:p>
    <w:p w14:paraId="03E254E2">
      <w:pPr>
        <w:ind w:firstLine="0" w:firstLineChars="0"/>
        <w:jc w:val="center"/>
        <w:rPr>
          <w:highlight w:val="none"/>
        </w:rPr>
      </w:pPr>
      <w:r>
        <w:rPr>
          <w:highlight w:val="none"/>
        </w:rPr>
        <w:drawing>
          <wp:inline distT="0" distB="0" distL="0" distR="0">
            <wp:extent cx="5210175" cy="3376930"/>
            <wp:effectExtent l="0" t="0" r="0" b="0"/>
            <wp:docPr id="2"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10;&#10;描述已自动生成"/>
                    <pic:cNvPicPr>
                      <a:picLocks noChangeAspect="1"/>
                    </pic:cNvPicPr>
                  </pic:nvPicPr>
                  <pic:blipFill>
                    <a:blip r:embed="rId23"/>
                    <a:stretch>
                      <a:fillRect/>
                    </a:stretch>
                  </pic:blipFill>
                  <pic:spPr>
                    <a:xfrm>
                      <a:off x="0" y="0"/>
                      <a:ext cx="5222055" cy="3385204"/>
                    </a:xfrm>
                    <a:prstGeom prst="rect">
                      <a:avLst/>
                    </a:prstGeom>
                  </pic:spPr>
                </pic:pic>
              </a:graphicData>
            </a:graphic>
          </wp:inline>
        </w:drawing>
      </w:r>
    </w:p>
    <w:p w14:paraId="1CDF228B">
      <w:pPr>
        <w:ind w:firstLine="0" w:firstLineChars="0"/>
        <w:jc w:val="center"/>
        <w:rPr>
          <w:b/>
          <w:bCs/>
          <w:highlight w:val="none"/>
        </w:rPr>
      </w:pPr>
      <w:r>
        <w:rPr>
          <w:rFonts w:hint="eastAsia"/>
          <w:b/>
          <w:bCs/>
          <w:highlight w:val="none"/>
        </w:rPr>
        <w:t>排水标准横断面图（永安东路）</w:t>
      </w:r>
    </w:p>
    <w:p w14:paraId="373CEA11">
      <w:pPr>
        <w:ind w:firstLine="480"/>
        <w:rPr>
          <w:highlight w:val="none"/>
        </w:rPr>
      </w:pPr>
      <w:r>
        <w:rPr>
          <w:rFonts w:hint="eastAsia"/>
          <w:highlight w:val="none"/>
        </w:rPr>
        <w:t>永安路雨水系统布置如下：</w:t>
      </w:r>
    </w:p>
    <w:p w14:paraId="36EC512A">
      <w:pPr>
        <w:ind w:firstLine="480"/>
        <w:rPr>
          <w:highlight w:val="none"/>
        </w:rPr>
      </w:pPr>
      <w:r>
        <w:rPr>
          <w:rFonts w:hint="eastAsia"/>
          <w:highlight w:val="none"/>
        </w:rPr>
        <w:t>永安路雨水管道采用双侧布管，管径d</w:t>
      </w:r>
      <w:r>
        <w:rPr>
          <w:highlight w:val="none"/>
        </w:rPr>
        <w:t>800，</w:t>
      </w:r>
      <w:r>
        <w:rPr>
          <w:rFonts w:hint="eastAsia"/>
          <w:highlight w:val="none"/>
        </w:rPr>
        <w:t>坡度20‰，道路北侧雨水管布置在道路机动车道下，距离道路中心线1</w:t>
      </w:r>
      <w:r>
        <w:rPr>
          <w:highlight w:val="none"/>
        </w:rPr>
        <w:t>7.5</w:t>
      </w:r>
      <w:r>
        <w:rPr>
          <w:rFonts w:hint="eastAsia"/>
          <w:highlight w:val="none"/>
        </w:rPr>
        <w:t>米；道路南侧雨水管布置在道路机动车道下，距道路中心线</w:t>
      </w:r>
      <w:r>
        <w:rPr>
          <w:highlight w:val="none"/>
        </w:rPr>
        <w:t>17.5</w:t>
      </w:r>
      <w:r>
        <w:rPr>
          <w:rFonts w:hint="eastAsia"/>
          <w:highlight w:val="none"/>
        </w:rPr>
        <w:t>米。</w:t>
      </w:r>
    </w:p>
    <w:p w14:paraId="22F27A92">
      <w:pPr>
        <w:ind w:firstLine="480"/>
        <w:rPr>
          <w:highlight w:val="none"/>
        </w:rPr>
      </w:pPr>
      <w:r>
        <w:rPr>
          <w:rFonts w:hint="eastAsia"/>
          <w:highlight w:val="none"/>
        </w:rPr>
        <w:t>管网的起点控制覆土不小于</w:t>
      </w:r>
      <w:r>
        <w:rPr>
          <w:highlight w:val="none"/>
        </w:rPr>
        <w:t>1.5</w:t>
      </w:r>
      <w:r>
        <w:rPr>
          <w:rFonts w:hint="eastAsia"/>
          <w:highlight w:val="none"/>
        </w:rPr>
        <w:t>米。</w:t>
      </w:r>
    </w:p>
    <w:p w14:paraId="4B55035D">
      <w:pPr>
        <w:ind w:firstLine="480"/>
        <w:rPr>
          <w:highlight w:val="none"/>
        </w:rPr>
      </w:pPr>
      <w:r>
        <w:rPr>
          <w:rFonts w:hint="eastAsia"/>
          <w:highlight w:val="none"/>
        </w:rPr>
        <w:t>雨水管道具体布置详见《雨水平面设计图》。</w:t>
      </w:r>
    </w:p>
    <w:p w14:paraId="176ED5D6">
      <w:pPr>
        <w:ind w:firstLine="480"/>
        <w:rPr>
          <w:highlight w:val="none"/>
        </w:rPr>
      </w:pPr>
      <w:r>
        <w:rPr>
          <w:rFonts w:hint="eastAsia"/>
          <w:highlight w:val="none"/>
        </w:rPr>
        <w:t>路口按规划及两侧住宅小区排出口设置预留管道及检查井，一般路段结合地块性质按间距不大于</w:t>
      </w:r>
      <w:r>
        <w:rPr>
          <w:highlight w:val="none"/>
        </w:rPr>
        <w:t>120</w:t>
      </w:r>
      <w:r>
        <w:rPr>
          <w:rFonts w:hint="eastAsia"/>
          <w:highlight w:val="none"/>
        </w:rPr>
        <w:t>米设置预留管道及检查井，雨水预留管管径d</w:t>
      </w:r>
      <w:r>
        <w:rPr>
          <w:highlight w:val="none"/>
        </w:rPr>
        <w:t>600</w:t>
      </w:r>
      <w:r>
        <w:rPr>
          <w:rFonts w:hint="eastAsia"/>
          <w:highlight w:val="none"/>
        </w:rPr>
        <w:t>。预留管覆土深度不小于</w:t>
      </w:r>
      <w:r>
        <w:rPr>
          <w:highlight w:val="none"/>
        </w:rPr>
        <w:t>1.5</w:t>
      </w:r>
      <w:r>
        <w:rPr>
          <w:rFonts w:hint="eastAsia"/>
          <w:highlight w:val="none"/>
        </w:rPr>
        <w:t>米。</w:t>
      </w:r>
    </w:p>
    <w:p w14:paraId="120E3E6C">
      <w:pPr>
        <w:ind w:firstLine="480"/>
        <w:rPr>
          <w:highlight w:val="none"/>
        </w:rPr>
      </w:pPr>
    </w:p>
    <w:p w14:paraId="07DDFE58">
      <w:pPr>
        <w:pStyle w:val="5"/>
        <w:ind w:firstLine="482"/>
        <w:rPr>
          <w:color w:val="auto"/>
          <w:highlight w:val="none"/>
        </w:rPr>
      </w:pPr>
      <w:r>
        <w:rPr>
          <w:rFonts w:hint="eastAsia"/>
          <w:color w:val="auto"/>
          <w:highlight w:val="none"/>
        </w:rPr>
        <w:t>污水工程设计</w:t>
      </w:r>
    </w:p>
    <w:p w14:paraId="6A733BBA">
      <w:pPr>
        <w:ind w:firstLine="0" w:firstLineChars="0"/>
        <w:jc w:val="center"/>
        <w:rPr>
          <w:highlight w:val="none"/>
        </w:rPr>
      </w:pPr>
      <w:r>
        <w:rPr>
          <w:highlight w:val="none"/>
        </w:rPr>
        <w:drawing>
          <wp:inline distT="0" distB="0" distL="0" distR="0">
            <wp:extent cx="5495925" cy="3562350"/>
            <wp:effectExtent l="0" t="0" r="0" b="0"/>
            <wp:docPr id="4"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示&#10;&#10;描述已自动生成"/>
                    <pic:cNvPicPr>
                      <a:picLocks noChangeAspect="1"/>
                    </pic:cNvPicPr>
                  </pic:nvPicPr>
                  <pic:blipFill>
                    <a:blip r:embed="rId23"/>
                    <a:stretch>
                      <a:fillRect/>
                    </a:stretch>
                  </pic:blipFill>
                  <pic:spPr>
                    <a:xfrm>
                      <a:off x="0" y="0"/>
                      <a:ext cx="5502655" cy="3567103"/>
                    </a:xfrm>
                    <a:prstGeom prst="rect">
                      <a:avLst/>
                    </a:prstGeom>
                  </pic:spPr>
                </pic:pic>
              </a:graphicData>
            </a:graphic>
          </wp:inline>
        </w:drawing>
      </w:r>
    </w:p>
    <w:p w14:paraId="61C72C87">
      <w:pPr>
        <w:ind w:firstLine="0" w:firstLineChars="0"/>
        <w:jc w:val="center"/>
        <w:rPr>
          <w:b/>
          <w:bCs/>
          <w:highlight w:val="none"/>
        </w:rPr>
      </w:pPr>
      <w:r>
        <w:rPr>
          <w:rFonts w:hint="eastAsia"/>
          <w:b/>
          <w:bCs/>
          <w:highlight w:val="none"/>
        </w:rPr>
        <w:t>排水标准横断面图（永安东路）</w:t>
      </w:r>
    </w:p>
    <w:p w14:paraId="31042EB4">
      <w:pPr>
        <w:ind w:firstLine="480"/>
        <w:rPr>
          <w:highlight w:val="none"/>
        </w:rPr>
      </w:pPr>
      <w:r>
        <w:rPr>
          <w:rFonts w:hint="eastAsia"/>
          <w:highlight w:val="none"/>
        </w:rPr>
        <w:t>永安路污水布置具体如下：</w:t>
      </w:r>
    </w:p>
    <w:p w14:paraId="08808C4E">
      <w:pPr>
        <w:ind w:firstLine="480"/>
        <w:rPr>
          <w:highlight w:val="none"/>
        </w:rPr>
      </w:pPr>
      <w:r>
        <w:rPr>
          <w:rFonts w:hint="eastAsia"/>
          <w:highlight w:val="none"/>
        </w:rPr>
        <w:t>永安路污水管道采用双侧布管，管径d</w:t>
      </w:r>
      <w:r>
        <w:rPr>
          <w:highlight w:val="none"/>
        </w:rPr>
        <w:t>500，</w:t>
      </w:r>
      <w:r>
        <w:rPr>
          <w:rFonts w:hint="eastAsia"/>
          <w:highlight w:val="none"/>
        </w:rPr>
        <w:t>坡度3‰</w:t>
      </w:r>
      <w:r>
        <w:rPr>
          <w:highlight w:val="none"/>
        </w:rPr>
        <w:t>~</w:t>
      </w:r>
      <w:r>
        <w:rPr>
          <w:rFonts w:hint="eastAsia"/>
          <w:highlight w:val="none"/>
        </w:rPr>
        <w:t>20‰，道路北侧</w:t>
      </w:r>
      <w:r>
        <w:rPr>
          <w:rFonts w:hint="eastAsia"/>
          <w:highlight w:val="none"/>
          <w:lang w:val="en-US" w:eastAsia="zh-CN"/>
        </w:rPr>
        <w:t>污水</w:t>
      </w:r>
      <w:r>
        <w:rPr>
          <w:rFonts w:hint="eastAsia"/>
          <w:highlight w:val="none"/>
        </w:rPr>
        <w:t>管布置在道路机动车道下，距离道路中心线1</w:t>
      </w:r>
      <w:r>
        <w:rPr>
          <w:highlight w:val="none"/>
        </w:rPr>
        <w:t>5.5</w:t>
      </w:r>
      <w:r>
        <w:rPr>
          <w:rFonts w:hint="eastAsia"/>
          <w:highlight w:val="none"/>
        </w:rPr>
        <w:t>米，坡度3‰；道路</w:t>
      </w:r>
      <w:r>
        <w:rPr>
          <w:rFonts w:hint="eastAsia"/>
          <w:highlight w:val="none"/>
          <w:lang w:val="en-US" w:eastAsia="zh-CN"/>
        </w:rPr>
        <w:t>污水</w:t>
      </w:r>
      <w:r>
        <w:rPr>
          <w:rFonts w:hint="eastAsia"/>
          <w:highlight w:val="none"/>
        </w:rPr>
        <w:t>管布置在道路机动车道下，距道路中心线</w:t>
      </w:r>
      <w:r>
        <w:rPr>
          <w:highlight w:val="none"/>
        </w:rPr>
        <w:t>15.5</w:t>
      </w:r>
      <w:r>
        <w:rPr>
          <w:rFonts w:hint="eastAsia"/>
          <w:highlight w:val="none"/>
        </w:rPr>
        <w:t>米，坡度20‰。</w:t>
      </w:r>
    </w:p>
    <w:p w14:paraId="469348CE">
      <w:pPr>
        <w:ind w:firstLine="480"/>
        <w:rPr>
          <w:highlight w:val="none"/>
        </w:rPr>
      </w:pPr>
      <w:r>
        <w:rPr>
          <w:rFonts w:hint="eastAsia"/>
          <w:highlight w:val="none"/>
        </w:rPr>
        <w:t>道路两侧设置预留管道及检查井，一般路段结合地块性质按间距不大于</w:t>
      </w:r>
      <w:r>
        <w:rPr>
          <w:highlight w:val="none"/>
        </w:rPr>
        <w:t>120</w:t>
      </w:r>
      <w:r>
        <w:rPr>
          <w:rFonts w:hint="eastAsia"/>
          <w:highlight w:val="none"/>
        </w:rPr>
        <w:t>米设置预留管道及检查井，污水预留管管径d</w:t>
      </w:r>
      <w:r>
        <w:rPr>
          <w:highlight w:val="none"/>
        </w:rPr>
        <w:t>300</w:t>
      </w:r>
      <w:r>
        <w:rPr>
          <w:rFonts w:hint="eastAsia"/>
          <w:highlight w:val="none"/>
        </w:rPr>
        <w:t>，管网的起点控制覆土不小于</w:t>
      </w:r>
      <w:r>
        <w:rPr>
          <w:highlight w:val="none"/>
        </w:rPr>
        <w:t>2.5</w:t>
      </w:r>
      <w:r>
        <w:rPr>
          <w:rFonts w:hint="eastAsia"/>
          <w:highlight w:val="none"/>
        </w:rPr>
        <w:t>米。</w:t>
      </w:r>
    </w:p>
    <w:p w14:paraId="1B5CD0B8">
      <w:pPr>
        <w:ind w:firstLine="480"/>
        <w:rPr>
          <w:highlight w:val="none"/>
        </w:rPr>
      </w:pPr>
      <w:r>
        <w:rPr>
          <w:rFonts w:hint="eastAsia"/>
          <w:highlight w:val="none"/>
        </w:rPr>
        <w:t>污水管道具体布置详见《污水平面布置图》。</w:t>
      </w:r>
    </w:p>
    <w:p w14:paraId="55E7885F">
      <w:pPr>
        <w:pStyle w:val="4"/>
        <w:spacing w:before="163" w:after="163"/>
        <w:ind w:firstLine="560"/>
        <w:rPr>
          <w:color w:val="auto"/>
          <w:highlight w:val="none"/>
        </w:rPr>
      </w:pPr>
      <w:bookmarkStart w:id="17" w:name="_Toc6930"/>
      <w:r>
        <w:rPr>
          <w:rFonts w:hint="eastAsia"/>
          <w:color w:val="auto"/>
          <w:highlight w:val="none"/>
        </w:rPr>
        <w:t>管道基坑开挖</w:t>
      </w:r>
      <w:bookmarkEnd w:id="17"/>
    </w:p>
    <w:p w14:paraId="742C1A36">
      <w:pPr>
        <w:pStyle w:val="19"/>
        <w:snapToGrid w:val="0"/>
        <w:spacing w:after="0" w:line="360" w:lineRule="auto"/>
        <w:ind w:firstLineChars="175"/>
        <w:jc w:val="left"/>
        <w:rPr>
          <w:snapToGrid/>
          <w:sz w:val="24"/>
          <w:szCs w:val="21"/>
          <w:highlight w:val="none"/>
        </w:rPr>
      </w:pPr>
      <w:r>
        <w:rPr>
          <w:snapToGrid/>
          <w:sz w:val="24"/>
          <w:szCs w:val="21"/>
          <w:highlight w:val="none"/>
        </w:rPr>
        <w:t>1）材料及设备要求</w:t>
      </w:r>
    </w:p>
    <w:p w14:paraId="5AF68ADE">
      <w:pPr>
        <w:pStyle w:val="19"/>
        <w:snapToGrid w:val="0"/>
        <w:spacing w:after="0" w:line="360" w:lineRule="auto"/>
        <w:ind w:firstLineChars="175"/>
        <w:jc w:val="left"/>
        <w:rPr>
          <w:snapToGrid/>
          <w:sz w:val="24"/>
          <w:szCs w:val="21"/>
          <w:highlight w:val="none"/>
        </w:rPr>
      </w:pPr>
      <w:r>
        <w:rPr>
          <w:snapToGrid/>
          <w:sz w:val="24"/>
          <w:szCs w:val="21"/>
          <w:highlight w:val="none"/>
        </w:rPr>
        <w:t>钢材：（1）钢筋：HPB300用</w:t>
      </w:r>
      <w:r>
        <w:rPr>
          <w:snapToGrid/>
          <w:sz w:val="24"/>
          <w:szCs w:val="21"/>
          <w:highlight w:val="none"/>
        </w:rPr>
        <w:drawing>
          <wp:inline distT="0" distB="0" distL="114300" distR="114300">
            <wp:extent cx="109220" cy="179705"/>
            <wp:effectExtent l="0" t="0" r="5080" b="10795"/>
            <wp:docPr id="10" name="图片 10" descr="QQ截图2021110300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QQ截图20211103000422"/>
                    <pic:cNvPicPr>
                      <a:picLocks noChangeAspect="1"/>
                    </pic:cNvPicPr>
                  </pic:nvPicPr>
                  <pic:blipFill>
                    <a:blip r:embed="rId24"/>
                    <a:stretch>
                      <a:fillRect/>
                    </a:stretch>
                  </pic:blipFill>
                  <pic:spPr>
                    <a:xfrm>
                      <a:off x="0" y="0"/>
                      <a:ext cx="109220" cy="179705"/>
                    </a:xfrm>
                    <a:prstGeom prst="rect">
                      <a:avLst/>
                    </a:prstGeom>
                  </pic:spPr>
                </pic:pic>
              </a:graphicData>
            </a:graphic>
          </wp:inline>
        </w:drawing>
      </w:r>
      <w:r>
        <w:rPr>
          <w:snapToGrid/>
          <w:sz w:val="24"/>
          <w:szCs w:val="21"/>
          <w:highlight w:val="none"/>
        </w:rPr>
        <w:t>表示，fy=270N/mm²，HRB400用</w:t>
      </w:r>
      <w:r>
        <w:rPr>
          <w:snapToGrid/>
          <w:sz w:val="24"/>
          <w:szCs w:val="21"/>
          <w:highlight w:val="none"/>
        </w:rPr>
        <w:drawing>
          <wp:inline distT="0" distB="0" distL="114300" distR="114300">
            <wp:extent cx="106680" cy="179705"/>
            <wp:effectExtent l="0" t="0" r="7620" b="10795"/>
            <wp:docPr id="9" name="图片 9" descr="QQ截图2021110300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QQ截图20211103000415"/>
                    <pic:cNvPicPr>
                      <a:picLocks noChangeAspect="1"/>
                    </pic:cNvPicPr>
                  </pic:nvPicPr>
                  <pic:blipFill>
                    <a:blip r:embed="rId25"/>
                    <a:stretch>
                      <a:fillRect/>
                    </a:stretch>
                  </pic:blipFill>
                  <pic:spPr>
                    <a:xfrm>
                      <a:off x="0" y="0"/>
                      <a:ext cx="106680" cy="179705"/>
                    </a:xfrm>
                    <a:prstGeom prst="rect">
                      <a:avLst/>
                    </a:prstGeom>
                  </pic:spPr>
                </pic:pic>
              </a:graphicData>
            </a:graphic>
          </wp:inline>
        </w:drawing>
      </w:r>
      <w:r>
        <w:rPr>
          <w:snapToGrid/>
          <w:sz w:val="24"/>
          <w:szCs w:val="21"/>
          <w:highlight w:val="none"/>
        </w:rPr>
        <w:t>表示，fy=360N/mm²；</w:t>
      </w:r>
    </w:p>
    <w:p w14:paraId="3F3A4D3A">
      <w:pPr>
        <w:pStyle w:val="19"/>
        <w:snapToGrid w:val="0"/>
        <w:spacing w:after="0" w:line="360" w:lineRule="auto"/>
        <w:ind w:firstLine="1140" w:firstLineChars="475"/>
        <w:jc w:val="left"/>
        <w:rPr>
          <w:snapToGrid/>
          <w:sz w:val="24"/>
          <w:szCs w:val="21"/>
          <w:highlight w:val="none"/>
        </w:rPr>
      </w:pPr>
      <w:r>
        <w:rPr>
          <w:snapToGrid/>
          <w:sz w:val="24"/>
          <w:szCs w:val="21"/>
          <w:highlight w:val="none"/>
        </w:rPr>
        <w:t>（2）钢板、钢管：采用Q235B钢。</w:t>
      </w:r>
    </w:p>
    <w:p w14:paraId="3AB17719">
      <w:pPr>
        <w:pStyle w:val="19"/>
        <w:snapToGrid w:val="0"/>
        <w:spacing w:after="0" w:line="360" w:lineRule="auto"/>
        <w:jc w:val="left"/>
        <w:rPr>
          <w:snapToGrid/>
          <w:sz w:val="24"/>
          <w:szCs w:val="21"/>
          <w:highlight w:val="none"/>
        </w:rPr>
      </w:pPr>
      <w:r>
        <w:rPr>
          <w:snapToGrid/>
          <w:sz w:val="24"/>
          <w:szCs w:val="21"/>
          <w:highlight w:val="none"/>
        </w:rPr>
        <w:t>焊条：采用结E43型焊条HPB300钢筋及Q235钢材；采用结E50型焊条HRB400钢筋及Q345钢材。</w:t>
      </w:r>
    </w:p>
    <w:p w14:paraId="4532C96E">
      <w:pPr>
        <w:ind w:firstLine="480"/>
        <w:rPr>
          <w:highlight w:val="none"/>
        </w:rPr>
      </w:pPr>
      <w:r>
        <w:rPr>
          <w:rFonts w:hint="eastAsia"/>
          <w:highlight w:val="none"/>
        </w:rPr>
        <w:t>SP-</w:t>
      </w:r>
      <w:r>
        <w:rPr>
          <w:rFonts w:hint="eastAsia"/>
          <w:highlight w:val="none"/>
        </w:rPr>
        <w:fldChar w:fldCharType="begin"/>
      </w:r>
      <w:r>
        <w:rPr>
          <w:rFonts w:hint="eastAsia"/>
          <w:highlight w:val="none"/>
        </w:rPr>
        <w:instrText xml:space="preserve"> = 3 \* ROMAN \* MERGEFORMAT </w:instrText>
      </w:r>
      <w:r>
        <w:rPr>
          <w:rFonts w:hint="eastAsia"/>
          <w:highlight w:val="none"/>
        </w:rPr>
        <w:fldChar w:fldCharType="separate"/>
      </w:r>
      <w:r>
        <w:rPr>
          <w:highlight w:val="none"/>
        </w:rPr>
        <w:t>III</w:t>
      </w:r>
      <w:r>
        <w:rPr>
          <w:rFonts w:hint="eastAsia"/>
          <w:highlight w:val="none"/>
        </w:rPr>
        <w:fldChar w:fldCharType="end"/>
      </w:r>
      <w:r>
        <w:rPr>
          <w:rFonts w:hint="eastAsia"/>
          <w:highlight w:val="none"/>
        </w:rPr>
        <w:t>型拉森钢板桩特性参数如下表：</w:t>
      </w:r>
    </w:p>
    <w:p w14:paraId="48666883">
      <w:pPr>
        <w:ind w:firstLine="482"/>
        <w:jc w:val="center"/>
        <w:rPr>
          <w:b/>
          <w:bCs/>
          <w:highlight w:val="none"/>
        </w:rPr>
      </w:pPr>
      <w:r>
        <w:rPr>
          <w:rFonts w:hint="eastAsia"/>
          <w:b/>
          <w:bCs/>
          <w:highlight w:val="none"/>
        </w:rPr>
        <w:t>钢板桩特性参数表</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2"/>
        <w:gridCol w:w="1125"/>
        <w:gridCol w:w="1162"/>
        <w:gridCol w:w="1125"/>
        <w:gridCol w:w="1097"/>
        <w:gridCol w:w="1116"/>
        <w:gridCol w:w="1106"/>
        <w:gridCol w:w="1942"/>
      </w:tblGrid>
      <w:tr w14:paraId="440F8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2" w:type="dxa"/>
            <w:vMerge w:val="restart"/>
            <w:vAlign w:val="center"/>
          </w:tcPr>
          <w:p w14:paraId="1BC4447B">
            <w:pPr>
              <w:spacing w:line="240" w:lineRule="auto"/>
              <w:ind w:firstLine="0" w:firstLineChars="0"/>
              <w:jc w:val="center"/>
              <w:rPr>
                <w:sz w:val="20"/>
                <w:szCs w:val="20"/>
                <w:highlight w:val="none"/>
              </w:rPr>
            </w:pPr>
            <w:r>
              <w:rPr>
                <w:rFonts w:hint="eastAsia"/>
                <w:sz w:val="20"/>
                <w:szCs w:val="20"/>
                <w:highlight w:val="none"/>
              </w:rPr>
              <w:t>型号</w:t>
            </w:r>
          </w:p>
        </w:tc>
        <w:tc>
          <w:tcPr>
            <w:tcW w:w="3412" w:type="dxa"/>
            <w:gridSpan w:val="3"/>
            <w:vAlign w:val="center"/>
          </w:tcPr>
          <w:p w14:paraId="5383E2D2">
            <w:pPr>
              <w:spacing w:line="240" w:lineRule="auto"/>
              <w:ind w:firstLine="0" w:firstLineChars="0"/>
              <w:jc w:val="center"/>
              <w:rPr>
                <w:sz w:val="20"/>
                <w:szCs w:val="20"/>
                <w:highlight w:val="none"/>
              </w:rPr>
            </w:pPr>
            <w:r>
              <w:rPr>
                <w:rFonts w:hint="eastAsia"/>
                <w:sz w:val="20"/>
                <w:szCs w:val="20"/>
                <w:highlight w:val="none"/>
              </w:rPr>
              <w:t>尺寸</w:t>
            </w:r>
          </w:p>
        </w:tc>
        <w:tc>
          <w:tcPr>
            <w:tcW w:w="1097" w:type="dxa"/>
            <w:vAlign w:val="center"/>
          </w:tcPr>
          <w:p w14:paraId="05A17EB7">
            <w:pPr>
              <w:spacing w:line="240" w:lineRule="auto"/>
              <w:ind w:firstLine="0" w:firstLineChars="0"/>
              <w:jc w:val="center"/>
              <w:rPr>
                <w:sz w:val="20"/>
                <w:szCs w:val="20"/>
                <w:highlight w:val="none"/>
              </w:rPr>
            </w:pPr>
            <w:r>
              <w:rPr>
                <w:rFonts w:hint="eastAsia"/>
                <w:sz w:val="20"/>
                <w:szCs w:val="20"/>
                <w:highlight w:val="none"/>
              </w:rPr>
              <w:t>重量W</w:t>
            </w:r>
          </w:p>
        </w:tc>
        <w:tc>
          <w:tcPr>
            <w:tcW w:w="1116" w:type="dxa"/>
            <w:vMerge w:val="restart"/>
            <w:vAlign w:val="center"/>
          </w:tcPr>
          <w:p w14:paraId="1F86DF97">
            <w:pPr>
              <w:spacing w:line="240" w:lineRule="auto"/>
              <w:ind w:firstLine="0" w:firstLineChars="0"/>
              <w:jc w:val="center"/>
              <w:rPr>
                <w:sz w:val="20"/>
                <w:szCs w:val="20"/>
                <w:highlight w:val="none"/>
              </w:rPr>
            </w:pPr>
            <w:r>
              <w:rPr>
                <w:rFonts w:hint="eastAsia"/>
                <w:sz w:val="20"/>
                <w:szCs w:val="20"/>
                <w:highlight w:val="none"/>
              </w:rPr>
              <w:t>每延米截面面积</w:t>
            </w:r>
            <w:r>
              <w:rPr>
                <w:rFonts w:hint="eastAsia"/>
                <w:position w:val="-12"/>
                <w:sz w:val="20"/>
                <w:szCs w:val="20"/>
                <w:highlight w:val="none"/>
              </w:rPr>
              <w:object>
                <v:shape id="_x0000_i1025" o:spt="75" type="#_x0000_t75" style="height:17.75pt;width:14.05pt;" o:ole="t" filled="f" o:preferrelative="t" stroked="f" coordsize="21600,21600">
                  <v:path/>
                  <v:fill on="f" focussize="0,0"/>
                  <v:stroke on="f" joinstyle="miter"/>
                  <v:imagedata r:id="rId27" o:title=""/>
                  <o:lock v:ext="edit" aspectratio="t"/>
                  <w10:wrap type="none"/>
                  <w10:anchorlock/>
                </v:shape>
                <o:OLEObject Type="Embed" ProgID="Equation.KSEE3" ShapeID="_x0000_i1025" DrawAspect="Content" ObjectID="_1468075725" r:id="rId26">
                  <o:LockedField>false</o:LockedField>
                </o:OLEObject>
              </w:object>
            </w:r>
          </w:p>
        </w:tc>
        <w:tc>
          <w:tcPr>
            <w:tcW w:w="1106" w:type="dxa"/>
            <w:vMerge w:val="restart"/>
            <w:vAlign w:val="center"/>
          </w:tcPr>
          <w:p w14:paraId="143C64AC">
            <w:pPr>
              <w:spacing w:line="240" w:lineRule="auto"/>
              <w:ind w:firstLine="0" w:firstLineChars="0"/>
              <w:jc w:val="center"/>
              <w:rPr>
                <w:sz w:val="20"/>
                <w:szCs w:val="20"/>
                <w:highlight w:val="none"/>
              </w:rPr>
            </w:pPr>
            <w:r>
              <w:rPr>
                <w:rFonts w:hint="eastAsia"/>
                <w:sz w:val="20"/>
                <w:szCs w:val="20"/>
                <w:highlight w:val="none"/>
              </w:rPr>
              <w:t>每延米惯性矩</w:t>
            </w:r>
            <w:r>
              <w:rPr>
                <w:rFonts w:hint="eastAsia"/>
                <w:position w:val="-12"/>
                <w:sz w:val="20"/>
                <w:szCs w:val="20"/>
                <w:highlight w:val="none"/>
              </w:rPr>
              <w:object>
                <v:shape id="_x0000_i1026" o:spt="75" type="#_x0000_t75" style="height:17.75pt;width:13.1pt;" o:ole="t" filled="f" o:preferrelative="t" stroked="f" coordsize="21600,21600">
                  <v:path/>
                  <v:fill on="f" focussize="0,0"/>
                  <v:stroke on="f" joinstyle="miter"/>
                  <v:imagedata r:id="rId29" o:title=""/>
                  <o:lock v:ext="edit" aspectratio="t"/>
                  <w10:wrap type="none"/>
                  <w10:anchorlock/>
                </v:shape>
                <o:OLEObject Type="Embed" ProgID="Equation.KSEE3" ShapeID="_x0000_i1026" DrawAspect="Content" ObjectID="_1468075726" r:id="rId28">
                  <o:LockedField>false</o:LockedField>
                </o:OLEObject>
              </w:object>
            </w:r>
          </w:p>
        </w:tc>
        <w:tc>
          <w:tcPr>
            <w:tcW w:w="1942" w:type="dxa"/>
            <w:vMerge w:val="restart"/>
            <w:vAlign w:val="center"/>
          </w:tcPr>
          <w:p w14:paraId="6BEED287">
            <w:pPr>
              <w:spacing w:line="240" w:lineRule="auto"/>
              <w:ind w:firstLine="0" w:firstLineChars="0"/>
              <w:jc w:val="center"/>
              <w:rPr>
                <w:sz w:val="20"/>
                <w:szCs w:val="20"/>
                <w:highlight w:val="none"/>
              </w:rPr>
            </w:pPr>
            <w:r>
              <w:rPr>
                <w:sz w:val="20"/>
                <w:szCs w:val="20"/>
                <w:highlight w:val="none"/>
              </w:rPr>
              <w:t>每延米</w:t>
            </w:r>
            <w:r>
              <w:rPr>
                <w:rFonts w:hint="eastAsia"/>
                <w:sz w:val="20"/>
                <w:szCs w:val="20"/>
                <w:highlight w:val="none"/>
              </w:rPr>
              <w:t>截面模量</w:t>
            </w:r>
            <w:r>
              <w:rPr>
                <w:rFonts w:hint="eastAsia"/>
                <w:position w:val="-12"/>
                <w:sz w:val="20"/>
                <w:szCs w:val="20"/>
                <w:highlight w:val="none"/>
              </w:rPr>
              <w:object>
                <v:shape id="_x0000_i1027" o:spt="75" type="#_x0000_t75" style="height:17.75pt;width:15.9pt;" o:ole="t" filled="f" o:preferrelative="t" stroked="f" coordsize="21600,21600">
                  <v:path/>
                  <v:fill on="f" focussize="0,0"/>
                  <v:stroke on="f" joinstyle="miter"/>
                  <v:imagedata r:id="rId31" o:title=""/>
                  <o:lock v:ext="edit" aspectratio="t"/>
                  <w10:wrap type="none"/>
                  <w10:anchorlock/>
                </v:shape>
                <o:OLEObject Type="Embed" ProgID="Equation.KSEE3" ShapeID="_x0000_i1027" DrawAspect="Content" ObjectID="_1468075727" r:id="rId30">
                  <o:LockedField>false</o:LockedField>
                </o:OLEObject>
              </w:object>
            </w:r>
          </w:p>
        </w:tc>
      </w:tr>
      <w:tr w14:paraId="62C24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212" w:type="dxa"/>
            <w:vMerge w:val="continue"/>
            <w:vAlign w:val="center"/>
          </w:tcPr>
          <w:p w14:paraId="21B41C6E">
            <w:pPr>
              <w:spacing w:line="240" w:lineRule="auto"/>
              <w:ind w:firstLine="400"/>
              <w:jc w:val="center"/>
              <w:rPr>
                <w:sz w:val="20"/>
                <w:szCs w:val="20"/>
                <w:highlight w:val="none"/>
              </w:rPr>
            </w:pPr>
          </w:p>
        </w:tc>
        <w:tc>
          <w:tcPr>
            <w:tcW w:w="1125" w:type="dxa"/>
            <w:vAlign w:val="center"/>
          </w:tcPr>
          <w:p w14:paraId="15B36DA6">
            <w:pPr>
              <w:spacing w:line="240" w:lineRule="auto"/>
              <w:ind w:firstLine="0" w:firstLineChars="0"/>
              <w:jc w:val="center"/>
              <w:rPr>
                <w:sz w:val="20"/>
                <w:szCs w:val="20"/>
                <w:highlight w:val="none"/>
              </w:rPr>
            </w:pPr>
            <w:r>
              <w:rPr>
                <w:rFonts w:hint="eastAsia"/>
                <w:sz w:val="20"/>
                <w:szCs w:val="20"/>
                <w:highlight w:val="none"/>
              </w:rPr>
              <w:t>公称宽度B</w:t>
            </w:r>
          </w:p>
        </w:tc>
        <w:tc>
          <w:tcPr>
            <w:tcW w:w="1162" w:type="dxa"/>
            <w:vAlign w:val="center"/>
          </w:tcPr>
          <w:p w14:paraId="1F8229EF">
            <w:pPr>
              <w:spacing w:line="240" w:lineRule="auto"/>
              <w:ind w:firstLine="0" w:firstLineChars="0"/>
              <w:jc w:val="center"/>
              <w:rPr>
                <w:sz w:val="20"/>
                <w:szCs w:val="20"/>
                <w:highlight w:val="none"/>
              </w:rPr>
            </w:pPr>
            <w:r>
              <w:rPr>
                <w:rFonts w:hint="eastAsia"/>
                <w:sz w:val="20"/>
                <w:szCs w:val="20"/>
                <w:highlight w:val="none"/>
              </w:rPr>
              <w:t>公称高度H</w:t>
            </w:r>
          </w:p>
        </w:tc>
        <w:tc>
          <w:tcPr>
            <w:tcW w:w="1125" w:type="dxa"/>
            <w:vAlign w:val="center"/>
          </w:tcPr>
          <w:p w14:paraId="5F8F8B3E">
            <w:pPr>
              <w:spacing w:line="240" w:lineRule="auto"/>
              <w:ind w:firstLine="0" w:firstLineChars="0"/>
              <w:jc w:val="center"/>
              <w:rPr>
                <w:sz w:val="20"/>
                <w:szCs w:val="20"/>
                <w:highlight w:val="none"/>
              </w:rPr>
            </w:pPr>
            <w:r>
              <w:rPr>
                <w:rFonts w:hint="eastAsia"/>
                <w:sz w:val="20"/>
                <w:szCs w:val="20"/>
                <w:highlight w:val="none"/>
              </w:rPr>
              <w:t>腹板厚度t</w:t>
            </w:r>
          </w:p>
        </w:tc>
        <w:tc>
          <w:tcPr>
            <w:tcW w:w="1097" w:type="dxa"/>
            <w:vAlign w:val="center"/>
          </w:tcPr>
          <w:p w14:paraId="20DDA610">
            <w:pPr>
              <w:spacing w:line="240" w:lineRule="auto"/>
              <w:ind w:firstLine="0" w:firstLineChars="0"/>
              <w:jc w:val="center"/>
              <w:rPr>
                <w:sz w:val="20"/>
                <w:szCs w:val="20"/>
                <w:highlight w:val="none"/>
              </w:rPr>
            </w:pPr>
            <w:r>
              <w:rPr>
                <w:rFonts w:hint="eastAsia"/>
                <w:sz w:val="20"/>
                <w:szCs w:val="20"/>
                <w:highlight w:val="none"/>
              </w:rPr>
              <w:t>单根桩</w:t>
            </w:r>
          </w:p>
        </w:tc>
        <w:tc>
          <w:tcPr>
            <w:tcW w:w="1116" w:type="dxa"/>
            <w:vMerge w:val="continue"/>
            <w:vAlign w:val="center"/>
          </w:tcPr>
          <w:p w14:paraId="723873CC">
            <w:pPr>
              <w:spacing w:line="240" w:lineRule="auto"/>
              <w:ind w:firstLine="400"/>
              <w:jc w:val="center"/>
              <w:rPr>
                <w:sz w:val="20"/>
                <w:szCs w:val="20"/>
                <w:highlight w:val="none"/>
              </w:rPr>
            </w:pPr>
          </w:p>
        </w:tc>
        <w:tc>
          <w:tcPr>
            <w:tcW w:w="1106" w:type="dxa"/>
            <w:vMerge w:val="continue"/>
            <w:vAlign w:val="center"/>
          </w:tcPr>
          <w:p w14:paraId="7ABF5DF4">
            <w:pPr>
              <w:spacing w:line="240" w:lineRule="auto"/>
              <w:ind w:firstLine="400"/>
              <w:jc w:val="center"/>
              <w:rPr>
                <w:sz w:val="20"/>
                <w:szCs w:val="20"/>
                <w:highlight w:val="none"/>
              </w:rPr>
            </w:pPr>
          </w:p>
        </w:tc>
        <w:tc>
          <w:tcPr>
            <w:tcW w:w="1942" w:type="dxa"/>
            <w:vMerge w:val="continue"/>
            <w:vAlign w:val="center"/>
          </w:tcPr>
          <w:p w14:paraId="1A845BCB">
            <w:pPr>
              <w:spacing w:line="240" w:lineRule="auto"/>
              <w:ind w:firstLine="400"/>
              <w:jc w:val="center"/>
              <w:rPr>
                <w:sz w:val="20"/>
                <w:szCs w:val="20"/>
                <w:highlight w:val="none"/>
              </w:rPr>
            </w:pPr>
          </w:p>
        </w:tc>
      </w:tr>
      <w:tr w14:paraId="3D8CC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1212" w:type="dxa"/>
            <w:vMerge w:val="continue"/>
            <w:vAlign w:val="center"/>
          </w:tcPr>
          <w:p w14:paraId="5165307F">
            <w:pPr>
              <w:spacing w:line="240" w:lineRule="auto"/>
              <w:ind w:firstLine="400"/>
              <w:jc w:val="center"/>
              <w:rPr>
                <w:sz w:val="20"/>
                <w:szCs w:val="20"/>
                <w:highlight w:val="none"/>
              </w:rPr>
            </w:pPr>
          </w:p>
        </w:tc>
        <w:tc>
          <w:tcPr>
            <w:tcW w:w="1125" w:type="dxa"/>
            <w:vAlign w:val="center"/>
          </w:tcPr>
          <w:p w14:paraId="32024BFC">
            <w:pPr>
              <w:spacing w:line="240" w:lineRule="auto"/>
              <w:ind w:firstLine="0" w:firstLineChars="0"/>
              <w:jc w:val="center"/>
              <w:rPr>
                <w:sz w:val="20"/>
                <w:szCs w:val="20"/>
                <w:highlight w:val="none"/>
              </w:rPr>
            </w:pPr>
            <w:r>
              <w:rPr>
                <w:rFonts w:hint="eastAsia"/>
                <w:sz w:val="20"/>
                <w:szCs w:val="20"/>
                <w:highlight w:val="none"/>
              </w:rPr>
              <w:t>（mm）</w:t>
            </w:r>
          </w:p>
        </w:tc>
        <w:tc>
          <w:tcPr>
            <w:tcW w:w="1162" w:type="dxa"/>
            <w:vAlign w:val="center"/>
          </w:tcPr>
          <w:p w14:paraId="1D29BFD7">
            <w:pPr>
              <w:spacing w:line="240" w:lineRule="auto"/>
              <w:ind w:firstLine="0" w:firstLineChars="0"/>
              <w:jc w:val="center"/>
              <w:rPr>
                <w:sz w:val="20"/>
                <w:szCs w:val="20"/>
                <w:highlight w:val="none"/>
              </w:rPr>
            </w:pPr>
            <w:r>
              <w:rPr>
                <w:rFonts w:hint="eastAsia"/>
                <w:sz w:val="20"/>
                <w:szCs w:val="20"/>
                <w:highlight w:val="none"/>
              </w:rPr>
              <w:t>（mm）</w:t>
            </w:r>
          </w:p>
        </w:tc>
        <w:tc>
          <w:tcPr>
            <w:tcW w:w="1125" w:type="dxa"/>
            <w:vAlign w:val="center"/>
          </w:tcPr>
          <w:p w14:paraId="65B164E8">
            <w:pPr>
              <w:spacing w:line="240" w:lineRule="auto"/>
              <w:ind w:firstLine="0" w:firstLineChars="0"/>
              <w:jc w:val="center"/>
              <w:rPr>
                <w:sz w:val="20"/>
                <w:szCs w:val="20"/>
                <w:highlight w:val="none"/>
              </w:rPr>
            </w:pPr>
            <w:r>
              <w:rPr>
                <w:rFonts w:hint="eastAsia"/>
                <w:sz w:val="20"/>
                <w:szCs w:val="20"/>
                <w:highlight w:val="none"/>
              </w:rPr>
              <w:t>（mm）</w:t>
            </w:r>
          </w:p>
        </w:tc>
        <w:tc>
          <w:tcPr>
            <w:tcW w:w="1097" w:type="dxa"/>
            <w:vAlign w:val="center"/>
          </w:tcPr>
          <w:p w14:paraId="61791543">
            <w:pPr>
              <w:spacing w:line="240" w:lineRule="auto"/>
              <w:ind w:firstLine="0" w:firstLineChars="0"/>
              <w:jc w:val="center"/>
              <w:rPr>
                <w:sz w:val="20"/>
                <w:szCs w:val="20"/>
                <w:highlight w:val="none"/>
              </w:rPr>
            </w:pPr>
            <w:r>
              <w:rPr>
                <w:rFonts w:hint="eastAsia"/>
                <w:sz w:val="20"/>
                <w:szCs w:val="20"/>
                <w:highlight w:val="none"/>
              </w:rPr>
              <w:t>（kg/m）</w:t>
            </w:r>
          </w:p>
        </w:tc>
        <w:tc>
          <w:tcPr>
            <w:tcW w:w="1116" w:type="dxa"/>
            <w:vAlign w:val="center"/>
          </w:tcPr>
          <w:p w14:paraId="7D318447">
            <w:pPr>
              <w:spacing w:line="240" w:lineRule="auto"/>
              <w:ind w:firstLine="0" w:firstLineChars="0"/>
              <w:jc w:val="center"/>
              <w:rPr>
                <w:sz w:val="20"/>
                <w:szCs w:val="20"/>
                <w:highlight w:val="none"/>
              </w:rPr>
            </w:pPr>
            <w:r>
              <w:rPr>
                <w:sz w:val="20"/>
                <w:szCs w:val="20"/>
                <w:highlight w:val="none"/>
              </w:rPr>
              <w:t>（cm</w:t>
            </w:r>
            <w:r>
              <w:rPr>
                <w:sz w:val="20"/>
                <w:szCs w:val="20"/>
                <w:highlight w:val="none"/>
                <w:vertAlign w:val="superscript"/>
              </w:rPr>
              <w:t>2</w:t>
            </w:r>
            <w:r>
              <w:rPr>
                <w:sz w:val="20"/>
                <w:szCs w:val="20"/>
                <w:highlight w:val="none"/>
              </w:rPr>
              <w:t>/m）</w:t>
            </w:r>
          </w:p>
        </w:tc>
        <w:tc>
          <w:tcPr>
            <w:tcW w:w="1106" w:type="dxa"/>
            <w:vAlign w:val="center"/>
          </w:tcPr>
          <w:p w14:paraId="6FAC88EF">
            <w:pPr>
              <w:spacing w:line="240" w:lineRule="auto"/>
              <w:ind w:firstLine="0" w:firstLineChars="0"/>
              <w:jc w:val="center"/>
              <w:rPr>
                <w:sz w:val="20"/>
                <w:szCs w:val="20"/>
                <w:highlight w:val="none"/>
              </w:rPr>
            </w:pPr>
            <w:r>
              <w:rPr>
                <w:sz w:val="20"/>
                <w:szCs w:val="20"/>
                <w:highlight w:val="none"/>
              </w:rPr>
              <w:t>（cm</w:t>
            </w:r>
            <w:r>
              <w:rPr>
                <w:sz w:val="20"/>
                <w:szCs w:val="20"/>
                <w:highlight w:val="none"/>
                <w:vertAlign w:val="superscript"/>
              </w:rPr>
              <w:t>4</w:t>
            </w:r>
            <w:r>
              <w:rPr>
                <w:sz w:val="20"/>
                <w:szCs w:val="20"/>
                <w:highlight w:val="none"/>
              </w:rPr>
              <w:t>/m）</w:t>
            </w:r>
          </w:p>
        </w:tc>
        <w:tc>
          <w:tcPr>
            <w:tcW w:w="1942" w:type="dxa"/>
            <w:vAlign w:val="center"/>
          </w:tcPr>
          <w:p w14:paraId="490E1D74">
            <w:pPr>
              <w:spacing w:line="240" w:lineRule="auto"/>
              <w:ind w:firstLine="0" w:firstLineChars="0"/>
              <w:jc w:val="center"/>
              <w:rPr>
                <w:sz w:val="20"/>
                <w:szCs w:val="20"/>
                <w:highlight w:val="none"/>
              </w:rPr>
            </w:pPr>
            <w:r>
              <w:rPr>
                <w:sz w:val="20"/>
                <w:szCs w:val="20"/>
                <w:highlight w:val="none"/>
              </w:rPr>
              <w:t>（cm</w:t>
            </w:r>
            <w:r>
              <w:rPr>
                <w:sz w:val="20"/>
                <w:szCs w:val="20"/>
                <w:highlight w:val="none"/>
                <w:vertAlign w:val="superscript"/>
              </w:rPr>
              <w:t>3</w:t>
            </w:r>
            <w:r>
              <w:rPr>
                <w:sz w:val="20"/>
                <w:szCs w:val="20"/>
                <w:highlight w:val="none"/>
              </w:rPr>
              <w:t>/m）</w:t>
            </w:r>
          </w:p>
        </w:tc>
      </w:tr>
      <w:tr w14:paraId="6FB01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1212" w:type="dxa"/>
            <w:vAlign w:val="center"/>
          </w:tcPr>
          <w:p w14:paraId="5C1D267A">
            <w:pPr>
              <w:spacing w:line="240" w:lineRule="auto"/>
              <w:ind w:firstLine="0" w:firstLineChars="0"/>
              <w:jc w:val="center"/>
              <w:rPr>
                <w:sz w:val="20"/>
                <w:szCs w:val="20"/>
                <w:highlight w:val="none"/>
              </w:rPr>
            </w:pPr>
            <w:r>
              <w:rPr>
                <w:rFonts w:hint="eastAsia"/>
                <w:sz w:val="20"/>
                <w:szCs w:val="20"/>
                <w:highlight w:val="none"/>
              </w:rPr>
              <w:t>SP-</w:t>
            </w:r>
            <w:r>
              <w:rPr>
                <w:rFonts w:hint="eastAsia"/>
                <w:highlight w:val="none"/>
              </w:rPr>
              <w:fldChar w:fldCharType="begin"/>
            </w:r>
            <w:r>
              <w:rPr>
                <w:rFonts w:hint="eastAsia"/>
                <w:highlight w:val="none"/>
              </w:rPr>
              <w:instrText xml:space="preserve"> = 3 \* ROMAN \* MERGEFORMAT </w:instrText>
            </w:r>
            <w:r>
              <w:rPr>
                <w:rFonts w:hint="eastAsia"/>
                <w:highlight w:val="none"/>
              </w:rPr>
              <w:fldChar w:fldCharType="separate"/>
            </w:r>
            <w:r>
              <w:rPr>
                <w:highlight w:val="none"/>
              </w:rPr>
              <w:t>III</w:t>
            </w:r>
            <w:r>
              <w:rPr>
                <w:rFonts w:hint="eastAsia"/>
                <w:highlight w:val="none"/>
              </w:rPr>
              <w:fldChar w:fldCharType="end"/>
            </w:r>
            <w:r>
              <w:rPr>
                <w:rFonts w:hint="eastAsia"/>
                <w:highlight w:val="none"/>
              </w:rPr>
              <w:t>型</w:t>
            </w:r>
          </w:p>
        </w:tc>
        <w:tc>
          <w:tcPr>
            <w:tcW w:w="1125" w:type="dxa"/>
            <w:vAlign w:val="center"/>
          </w:tcPr>
          <w:p w14:paraId="6559F002">
            <w:pPr>
              <w:spacing w:line="240" w:lineRule="auto"/>
              <w:ind w:firstLine="400"/>
              <w:rPr>
                <w:sz w:val="20"/>
                <w:szCs w:val="20"/>
                <w:highlight w:val="none"/>
              </w:rPr>
            </w:pPr>
            <w:r>
              <w:rPr>
                <w:rFonts w:hint="eastAsia"/>
                <w:sz w:val="20"/>
                <w:szCs w:val="20"/>
                <w:highlight w:val="none"/>
              </w:rPr>
              <w:t>400</w:t>
            </w:r>
          </w:p>
        </w:tc>
        <w:tc>
          <w:tcPr>
            <w:tcW w:w="1162" w:type="dxa"/>
            <w:vAlign w:val="center"/>
          </w:tcPr>
          <w:p w14:paraId="465966D3">
            <w:pPr>
              <w:spacing w:line="240" w:lineRule="auto"/>
              <w:ind w:firstLine="400"/>
              <w:rPr>
                <w:sz w:val="20"/>
                <w:szCs w:val="20"/>
                <w:highlight w:val="none"/>
              </w:rPr>
            </w:pPr>
            <w:r>
              <w:rPr>
                <w:rFonts w:hint="eastAsia"/>
                <w:sz w:val="20"/>
                <w:szCs w:val="20"/>
                <w:highlight w:val="none"/>
              </w:rPr>
              <w:t>150</w:t>
            </w:r>
          </w:p>
        </w:tc>
        <w:tc>
          <w:tcPr>
            <w:tcW w:w="1125" w:type="dxa"/>
            <w:vAlign w:val="center"/>
          </w:tcPr>
          <w:p w14:paraId="6ECA8E48">
            <w:pPr>
              <w:spacing w:line="240" w:lineRule="auto"/>
              <w:ind w:firstLine="0" w:firstLineChars="0"/>
              <w:jc w:val="center"/>
              <w:rPr>
                <w:sz w:val="20"/>
                <w:szCs w:val="20"/>
                <w:highlight w:val="none"/>
              </w:rPr>
            </w:pPr>
            <w:r>
              <w:rPr>
                <w:rFonts w:hint="eastAsia"/>
                <w:sz w:val="20"/>
                <w:szCs w:val="20"/>
                <w:highlight w:val="none"/>
              </w:rPr>
              <w:t>13.1</w:t>
            </w:r>
          </w:p>
        </w:tc>
        <w:tc>
          <w:tcPr>
            <w:tcW w:w="1097" w:type="dxa"/>
            <w:vAlign w:val="center"/>
          </w:tcPr>
          <w:p w14:paraId="6BC153FE">
            <w:pPr>
              <w:spacing w:line="240" w:lineRule="auto"/>
              <w:ind w:firstLine="0" w:firstLineChars="0"/>
              <w:jc w:val="center"/>
              <w:rPr>
                <w:sz w:val="20"/>
                <w:szCs w:val="20"/>
                <w:highlight w:val="none"/>
              </w:rPr>
            </w:pPr>
            <w:r>
              <w:rPr>
                <w:rFonts w:hint="eastAsia"/>
                <w:sz w:val="20"/>
                <w:szCs w:val="20"/>
                <w:highlight w:val="none"/>
              </w:rPr>
              <w:t>58.4</w:t>
            </w:r>
          </w:p>
        </w:tc>
        <w:tc>
          <w:tcPr>
            <w:tcW w:w="1116" w:type="dxa"/>
            <w:vAlign w:val="center"/>
          </w:tcPr>
          <w:p w14:paraId="72C03094">
            <w:pPr>
              <w:spacing w:line="240" w:lineRule="auto"/>
              <w:ind w:firstLine="0" w:firstLineChars="0"/>
              <w:jc w:val="center"/>
              <w:rPr>
                <w:sz w:val="20"/>
                <w:szCs w:val="20"/>
                <w:highlight w:val="none"/>
              </w:rPr>
            </w:pPr>
            <w:r>
              <w:rPr>
                <w:rFonts w:hint="eastAsia"/>
                <w:sz w:val="20"/>
                <w:szCs w:val="20"/>
                <w:highlight w:val="none"/>
              </w:rPr>
              <w:t>186.0</w:t>
            </w:r>
          </w:p>
        </w:tc>
        <w:tc>
          <w:tcPr>
            <w:tcW w:w="1106" w:type="dxa"/>
            <w:vAlign w:val="center"/>
          </w:tcPr>
          <w:p w14:paraId="5214A0F7">
            <w:pPr>
              <w:spacing w:line="240" w:lineRule="auto"/>
              <w:ind w:firstLine="0" w:firstLineChars="0"/>
              <w:jc w:val="center"/>
              <w:rPr>
                <w:sz w:val="20"/>
                <w:szCs w:val="20"/>
                <w:highlight w:val="none"/>
              </w:rPr>
            </w:pPr>
            <w:r>
              <w:rPr>
                <w:rFonts w:hint="eastAsia"/>
                <w:sz w:val="20"/>
                <w:szCs w:val="20"/>
                <w:highlight w:val="none"/>
              </w:rPr>
              <w:t>22800</w:t>
            </w:r>
          </w:p>
        </w:tc>
        <w:tc>
          <w:tcPr>
            <w:tcW w:w="1942" w:type="dxa"/>
            <w:vAlign w:val="center"/>
          </w:tcPr>
          <w:p w14:paraId="7C6FFFAA">
            <w:pPr>
              <w:spacing w:line="240" w:lineRule="auto"/>
              <w:ind w:firstLine="0" w:firstLineChars="0"/>
              <w:jc w:val="center"/>
              <w:rPr>
                <w:sz w:val="20"/>
                <w:szCs w:val="20"/>
                <w:highlight w:val="none"/>
              </w:rPr>
            </w:pPr>
            <w:r>
              <w:rPr>
                <w:rFonts w:hint="eastAsia"/>
                <w:sz w:val="20"/>
                <w:szCs w:val="20"/>
                <w:highlight w:val="none"/>
              </w:rPr>
              <w:t>1520</w:t>
            </w:r>
          </w:p>
        </w:tc>
      </w:tr>
    </w:tbl>
    <w:p w14:paraId="51990398">
      <w:pPr>
        <w:pStyle w:val="19"/>
        <w:snapToGrid w:val="0"/>
        <w:spacing w:after="0" w:line="360" w:lineRule="auto"/>
        <w:ind w:left="960" w:firstLine="480" w:firstLineChars="200"/>
        <w:jc w:val="left"/>
        <w:rPr>
          <w:snapToGrid/>
          <w:sz w:val="24"/>
          <w:szCs w:val="21"/>
          <w:highlight w:val="none"/>
        </w:rPr>
      </w:pPr>
    </w:p>
    <w:p w14:paraId="762BC4F1">
      <w:pPr>
        <w:pStyle w:val="19"/>
        <w:snapToGrid w:val="0"/>
        <w:spacing w:after="0" w:line="360" w:lineRule="auto"/>
        <w:ind w:firstLineChars="175"/>
        <w:jc w:val="left"/>
        <w:rPr>
          <w:snapToGrid/>
          <w:sz w:val="24"/>
          <w:szCs w:val="21"/>
          <w:highlight w:val="none"/>
        </w:rPr>
      </w:pPr>
      <w:r>
        <w:rPr>
          <w:snapToGrid/>
          <w:sz w:val="24"/>
          <w:szCs w:val="21"/>
          <w:highlight w:val="none"/>
        </w:rPr>
        <w:t>全部材料必须具备出厂合格证和材料试验部门出具的有关证明方能使用。</w:t>
      </w:r>
    </w:p>
    <w:p w14:paraId="082F52E1">
      <w:pPr>
        <w:pStyle w:val="19"/>
        <w:snapToGrid w:val="0"/>
        <w:spacing w:after="0" w:line="360" w:lineRule="auto"/>
        <w:ind w:firstLineChars="175"/>
        <w:jc w:val="left"/>
        <w:rPr>
          <w:snapToGrid/>
          <w:sz w:val="24"/>
          <w:szCs w:val="21"/>
          <w:highlight w:val="none"/>
        </w:rPr>
      </w:pPr>
      <w:r>
        <w:rPr>
          <w:snapToGrid/>
          <w:sz w:val="24"/>
          <w:szCs w:val="21"/>
          <w:highlight w:val="none"/>
        </w:rPr>
        <w:t>2）基坑支护方案</w:t>
      </w:r>
    </w:p>
    <w:p w14:paraId="1A8B48FF">
      <w:pPr>
        <w:ind w:firstLine="480"/>
        <w:jc w:val="left"/>
        <w:rPr>
          <w:rFonts w:cs="Times New Roman"/>
          <w:szCs w:val="21"/>
          <w:highlight w:val="none"/>
        </w:rPr>
      </w:pPr>
      <w:r>
        <w:rPr>
          <w:rFonts w:cs="Times New Roman"/>
          <w:szCs w:val="21"/>
          <w:highlight w:val="none"/>
        </w:rPr>
        <w:t>（1）管道基槽开挖施工采取分段开挖，一般原则为：</w:t>
      </w:r>
    </w:p>
    <w:p w14:paraId="6C7C2E82">
      <w:pPr>
        <w:ind w:firstLine="480"/>
        <w:jc w:val="left"/>
        <w:rPr>
          <w:rFonts w:cs="Times New Roman"/>
          <w:szCs w:val="21"/>
          <w:highlight w:val="none"/>
        </w:rPr>
      </w:pPr>
      <w:r>
        <w:rPr>
          <w:rFonts w:cs="Times New Roman"/>
          <w:szCs w:val="21"/>
          <w:highlight w:val="none"/>
        </w:rPr>
        <w:t>当基坑深度&lt;</w:t>
      </w:r>
      <w:r>
        <w:rPr>
          <w:rFonts w:hint="eastAsia" w:cs="Times New Roman"/>
          <w:szCs w:val="21"/>
          <w:highlight w:val="none"/>
        </w:rPr>
        <w:t>3.</w:t>
      </w:r>
      <w:r>
        <w:rPr>
          <w:rFonts w:cs="Times New Roman"/>
          <w:szCs w:val="21"/>
          <w:highlight w:val="none"/>
        </w:rPr>
        <w:t>0m，采用放坡开挖；</w:t>
      </w:r>
    </w:p>
    <w:p w14:paraId="73112331">
      <w:pPr>
        <w:ind w:firstLine="480"/>
        <w:jc w:val="left"/>
        <w:rPr>
          <w:rFonts w:cs="Times New Roman"/>
          <w:szCs w:val="21"/>
          <w:highlight w:val="none"/>
        </w:rPr>
      </w:pPr>
      <w:r>
        <w:rPr>
          <w:rFonts w:cs="Times New Roman"/>
          <w:szCs w:val="21"/>
          <w:highlight w:val="none"/>
        </w:rPr>
        <w:t>当</w:t>
      </w:r>
      <w:r>
        <w:rPr>
          <w:rFonts w:hint="eastAsia" w:cs="Times New Roman"/>
          <w:szCs w:val="21"/>
          <w:highlight w:val="none"/>
        </w:rPr>
        <w:t>3.0</w:t>
      </w:r>
      <w:r>
        <w:rPr>
          <w:rFonts w:cs="Times New Roman"/>
          <w:szCs w:val="21"/>
          <w:highlight w:val="none"/>
        </w:rPr>
        <w:t>m≤基坑深度&lt;4.</w:t>
      </w:r>
      <w:r>
        <w:rPr>
          <w:rFonts w:hint="eastAsia" w:cs="Times New Roman"/>
          <w:szCs w:val="21"/>
          <w:highlight w:val="none"/>
        </w:rPr>
        <w:t>5</w:t>
      </w:r>
      <w:r>
        <w:rPr>
          <w:rFonts w:cs="Times New Roman"/>
          <w:szCs w:val="21"/>
          <w:highlight w:val="none"/>
        </w:rPr>
        <w:t>m时，采用6m拉森Ⅲ型钢板桩支护，设置一道横撑；</w:t>
      </w:r>
    </w:p>
    <w:p w14:paraId="737FF347">
      <w:pPr>
        <w:ind w:firstLine="480"/>
        <w:jc w:val="left"/>
        <w:rPr>
          <w:rFonts w:cs="Times New Roman"/>
          <w:szCs w:val="21"/>
          <w:highlight w:val="none"/>
        </w:rPr>
      </w:pPr>
      <w:r>
        <w:rPr>
          <w:rFonts w:cs="Times New Roman"/>
          <w:szCs w:val="21"/>
          <w:highlight w:val="none"/>
        </w:rPr>
        <w:t>（2）沟槽裸露时间一般不超过3天，若遇特殊情况不能铺管应及时回填，并做好基坑保护措施。</w:t>
      </w:r>
    </w:p>
    <w:p w14:paraId="0EA4DAF7">
      <w:pPr>
        <w:ind w:firstLine="480"/>
        <w:jc w:val="left"/>
        <w:rPr>
          <w:rFonts w:cs="Times New Roman"/>
          <w:szCs w:val="21"/>
          <w:highlight w:val="none"/>
        </w:rPr>
      </w:pPr>
      <w:r>
        <w:rPr>
          <w:rFonts w:cs="Times New Roman"/>
          <w:szCs w:val="21"/>
          <w:highlight w:val="none"/>
        </w:rPr>
        <w:t>（3）如遇特殊情况，须及时采取应急措施，并知会监理、设计人员共同处理。</w:t>
      </w:r>
    </w:p>
    <w:p w14:paraId="6570E60F">
      <w:pPr>
        <w:ind w:firstLine="480"/>
        <w:jc w:val="left"/>
        <w:rPr>
          <w:rFonts w:cs="Times New Roman"/>
          <w:szCs w:val="21"/>
          <w:highlight w:val="none"/>
        </w:rPr>
      </w:pPr>
      <w:r>
        <w:rPr>
          <w:rFonts w:cs="Times New Roman"/>
          <w:szCs w:val="21"/>
          <w:highlight w:val="none"/>
        </w:rPr>
        <w:t>（4）基坑内排水，采取坑内聚集排除。对管道吊装有困难时一般从端头引管，地面荷载仅限施工挖掘机械，且不得大于10kPa。</w:t>
      </w:r>
    </w:p>
    <w:p w14:paraId="3736AD5C">
      <w:pPr>
        <w:ind w:firstLine="480"/>
        <w:jc w:val="left"/>
        <w:rPr>
          <w:rFonts w:cs="Times New Roman"/>
          <w:kern w:val="0"/>
          <w:highlight w:val="none"/>
        </w:rPr>
      </w:pPr>
      <w:r>
        <w:rPr>
          <w:rFonts w:cs="Times New Roman"/>
          <w:kern w:val="0"/>
          <w:highlight w:val="none"/>
        </w:rPr>
        <w:t>（5）对于设置对撑钢板桩支护的基槽，当开挖至支撑设计标高以下0.5米时必须停止开挖及时设置钢支撑，支撑设置在钢围檩上，待支撑架设完毕后，应检查确认支撑的稳定性，安全后方可继续开挖施工，基坑开挖到距离坑底200mm时，必须采用人工挖除，严禁超挖，基坑开挖到最终基坑底面后应及时施筑垫层。基槽回填时，回填至撑底500mm时拆除横撑，回填至地面后拔出钢板桩。</w:t>
      </w:r>
    </w:p>
    <w:p w14:paraId="47A56914">
      <w:pPr>
        <w:ind w:firstLine="480"/>
        <w:jc w:val="left"/>
        <w:rPr>
          <w:rFonts w:cs="Times New Roman"/>
          <w:kern w:val="0"/>
          <w:highlight w:val="none"/>
        </w:rPr>
      </w:pPr>
      <w:r>
        <w:rPr>
          <w:rFonts w:cs="Times New Roman"/>
          <w:kern w:val="0"/>
          <w:highlight w:val="none"/>
        </w:rPr>
        <w:t>（6）钢板桩的拔出应避免对周边的影响，并及时采用水泥浆灌注桩孔。</w:t>
      </w:r>
    </w:p>
    <w:p w14:paraId="2FBD091F">
      <w:pPr>
        <w:ind w:firstLine="480"/>
        <w:jc w:val="left"/>
        <w:rPr>
          <w:rFonts w:cs="Times New Roman"/>
          <w:kern w:val="0"/>
          <w:highlight w:val="none"/>
        </w:rPr>
      </w:pPr>
      <w:r>
        <w:rPr>
          <w:rFonts w:cs="Times New Roman"/>
          <w:kern w:val="0"/>
          <w:highlight w:val="none"/>
        </w:rPr>
        <w:t>（7）槽坑周围应做好围栏等安全措施，并配有相关警示标志。</w:t>
      </w:r>
    </w:p>
    <w:p w14:paraId="0213B079">
      <w:pPr>
        <w:ind w:firstLine="480"/>
        <w:jc w:val="left"/>
        <w:rPr>
          <w:rFonts w:cs="Times New Roman"/>
          <w:kern w:val="0"/>
          <w:highlight w:val="none"/>
        </w:rPr>
      </w:pPr>
      <w:r>
        <w:rPr>
          <w:rFonts w:cs="Times New Roman"/>
          <w:kern w:val="0"/>
          <w:highlight w:val="none"/>
        </w:rPr>
        <w:t>（8）管道基槽施工图纸应结合管道平面、纵断面设计图纸一起使用。</w:t>
      </w:r>
    </w:p>
    <w:p w14:paraId="4865CD00">
      <w:pPr>
        <w:ind w:firstLine="480"/>
        <w:jc w:val="left"/>
        <w:rPr>
          <w:rFonts w:cs="Times New Roman"/>
          <w:kern w:val="0"/>
          <w:highlight w:val="none"/>
        </w:rPr>
      </w:pPr>
      <w:r>
        <w:rPr>
          <w:rFonts w:cs="Times New Roman"/>
          <w:kern w:val="0"/>
          <w:highlight w:val="none"/>
        </w:rPr>
        <w:t>（9）施工过程中应注意安全用电，特别是在施工槽钢时，要注意周边高压电线或民用电线可能会对施工造成的影响等应采取相应的安全措施，其他按现行国家有关规范执行。</w:t>
      </w:r>
    </w:p>
    <w:p w14:paraId="047657F1">
      <w:pPr>
        <w:ind w:firstLine="480"/>
        <w:jc w:val="left"/>
        <w:rPr>
          <w:rFonts w:cs="Times New Roman"/>
          <w:kern w:val="0"/>
          <w:highlight w:val="none"/>
        </w:rPr>
      </w:pPr>
      <w:r>
        <w:rPr>
          <w:rFonts w:cs="Times New Roman"/>
          <w:kern w:val="0"/>
          <w:highlight w:val="none"/>
        </w:rPr>
        <w:t>（10）禁止雨天进行基坑开挖施工。</w:t>
      </w:r>
    </w:p>
    <w:p w14:paraId="4B1861FC">
      <w:pPr>
        <w:pStyle w:val="19"/>
        <w:snapToGrid w:val="0"/>
        <w:spacing w:after="0" w:line="360" w:lineRule="auto"/>
        <w:ind w:firstLineChars="175"/>
        <w:jc w:val="left"/>
        <w:rPr>
          <w:snapToGrid/>
          <w:sz w:val="24"/>
          <w:szCs w:val="21"/>
          <w:highlight w:val="none"/>
        </w:rPr>
      </w:pPr>
      <w:r>
        <w:rPr>
          <w:snapToGrid/>
          <w:sz w:val="24"/>
          <w:szCs w:val="21"/>
          <w:highlight w:val="none"/>
        </w:rPr>
        <w:t>3）支护施工说明</w:t>
      </w:r>
    </w:p>
    <w:p w14:paraId="0173EB8C">
      <w:pPr>
        <w:pStyle w:val="65"/>
        <w:adjustRightInd w:val="0"/>
        <w:ind w:firstLine="480"/>
        <w:rPr>
          <w:rFonts w:ascii="Times New Roman" w:hAnsi="Times New Roman" w:cs="Times New Roman"/>
          <w:highlight w:val="none"/>
          <w:lang w:val="en-GB"/>
        </w:rPr>
      </w:pPr>
      <w:r>
        <w:rPr>
          <w:rFonts w:ascii="Times New Roman" w:hAnsi="Times New Roman" w:cs="Times New Roman"/>
          <w:highlight w:val="none"/>
          <w:lang w:val="en-GB"/>
        </w:rPr>
        <w:t>（</w:t>
      </w:r>
      <w:r>
        <w:rPr>
          <w:rFonts w:ascii="Times New Roman" w:hAnsi="Times New Roman" w:cs="Times New Roman"/>
          <w:highlight w:val="none"/>
        </w:rPr>
        <w:t>1</w:t>
      </w:r>
      <w:r>
        <w:rPr>
          <w:rFonts w:ascii="Times New Roman" w:hAnsi="Times New Roman" w:cs="Times New Roman"/>
          <w:highlight w:val="none"/>
          <w:lang w:val="en-GB"/>
        </w:rPr>
        <w:t>）管道地基:</w:t>
      </w:r>
      <w:r>
        <w:rPr>
          <w:rFonts w:ascii="Times New Roman" w:hAnsi="Times New Roman" w:cs="Times New Roman"/>
          <w:szCs w:val="21"/>
          <w:highlight w:val="none"/>
        </w:rPr>
        <w:t>排水管道地基处理与道路软基处理一并考虑。</w:t>
      </w:r>
      <w:r>
        <w:rPr>
          <w:rFonts w:ascii="Times New Roman" w:hAnsi="Times New Roman" w:cs="Times New Roman"/>
          <w:highlight w:val="none"/>
          <w:lang w:val="en-GB"/>
        </w:rPr>
        <w:t>管道地基承载能力达100kPa以上方可进行管道施工。</w:t>
      </w:r>
    </w:p>
    <w:p w14:paraId="57201C05">
      <w:pPr>
        <w:pStyle w:val="65"/>
        <w:adjustRightInd w:val="0"/>
        <w:ind w:firstLine="480"/>
        <w:rPr>
          <w:rFonts w:ascii="Times New Roman" w:hAnsi="Times New Roman" w:cs="Times New Roman"/>
          <w:highlight w:val="none"/>
          <w:lang w:val="en-GB"/>
        </w:rPr>
      </w:pPr>
      <w:r>
        <w:rPr>
          <w:rFonts w:ascii="Times New Roman" w:hAnsi="Times New Roman" w:cs="Times New Roman"/>
          <w:highlight w:val="none"/>
          <w:lang w:val="en-GB"/>
        </w:rPr>
        <w:t>（</w:t>
      </w:r>
      <w:r>
        <w:rPr>
          <w:rFonts w:ascii="Times New Roman" w:hAnsi="Times New Roman" w:cs="Times New Roman"/>
          <w:highlight w:val="none"/>
        </w:rPr>
        <w:t>2</w:t>
      </w:r>
      <w:r>
        <w:rPr>
          <w:rFonts w:ascii="Times New Roman" w:hAnsi="Times New Roman" w:cs="Times New Roman"/>
          <w:highlight w:val="none"/>
          <w:lang w:val="en-GB"/>
        </w:rPr>
        <w:t>）施工前要探明构筑物的基础范围，避免钢板桩与构筑物基础位置有冲突，同时要对建筑做监测，发现问题应立即停止施工并及时通知设计方。</w:t>
      </w:r>
    </w:p>
    <w:p w14:paraId="05DFD492">
      <w:pPr>
        <w:pStyle w:val="65"/>
        <w:adjustRightInd w:val="0"/>
        <w:ind w:firstLine="480"/>
        <w:rPr>
          <w:rFonts w:ascii="Times New Roman" w:hAnsi="Times New Roman" w:cs="Times New Roman"/>
          <w:highlight w:val="none"/>
          <w:lang w:val="en-GB"/>
        </w:rPr>
      </w:pPr>
      <w:r>
        <w:rPr>
          <w:rFonts w:ascii="Times New Roman" w:hAnsi="Times New Roman" w:cs="Times New Roman"/>
          <w:highlight w:val="none"/>
          <w:lang w:val="en-GB"/>
        </w:rPr>
        <w:t>（3）管道开挖:建议基槽开挖及管道施工采用分节段施工，各节段施工长度可由施工方根据现场情况确定，一般为15m~20m左右，并严格遵循“从上往下，分层开挖，开槽支撑，先撑后挖，严禁超挖”的原则。</w:t>
      </w:r>
      <w:r>
        <w:rPr>
          <w:rFonts w:ascii="Times New Roman" w:hAnsi="Times New Roman" w:cs="Times New Roman"/>
          <w:szCs w:val="21"/>
          <w:highlight w:val="none"/>
        </w:rPr>
        <w:t>开挖支护基槽时，开挖至支撑设计标高以下0.5米时应停止开挖，及时设置钢支撑，支撑设置在钢围檩上，待支撑架设完毕后，应检查确认支撑的稳定性，安全后方可继续施工。</w:t>
      </w:r>
      <w:r>
        <w:rPr>
          <w:rFonts w:ascii="Times New Roman" w:hAnsi="Times New Roman" w:cs="Times New Roman"/>
          <w:highlight w:val="none"/>
          <w:lang w:val="en-GB"/>
        </w:rPr>
        <w:t>基坑开挖到距离坑底0.2m时，应采用人工挖除，严禁超挖，基坑开挖到最终基坑底面后应及时施筑。</w:t>
      </w:r>
    </w:p>
    <w:p w14:paraId="76EAA16E">
      <w:pPr>
        <w:pStyle w:val="65"/>
        <w:adjustRightInd w:val="0"/>
        <w:ind w:firstLine="480"/>
        <w:rPr>
          <w:rFonts w:ascii="Times New Roman" w:hAnsi="Times New Roman" w:cs="Times New Roman"/>
          <w:highlight w:val="none"/>
          <w:lang w:val="en-GB"/>
        </w:rPr>
      </w:pPr>
      <w:r>
        <w:rPr>
          <w:rFonts w:ascii="Times New Roman" w:hAnsi="Times New Roman" w:cs="Times New Roman"/>
          <w:highlight w:val="none"/>
          <w:lang w:val="en-GB"/>
        </w:rPr>
        <w:t>（4）管道基槽施工方式详见《管道基坑支护设计图》。</w:t>
      </w:r>
    </w:p>
    <w:p w14:paraId="223FE23D">
      <w:pPr>
        <w:ind w:firstLine="480"/>
        <w:rPr>
          <w:rFonts w:cs="Times New Roman"/>
          <w:highlight w:val="none"/>
          <w:lang w:val="en-GB"/>
        </w:rPr>
      </w:pPr>
      <w:r>
        <w:rPr>
          <w:rFonts w:cs="Times New Roman"/>
          <w:highlight w:val="none"/>
          <w:lang w:val="en-GB"/>
        </w:rPr>
        <w:t>（5）管道回填:</w:t>
      </w:r>
      <w:r>
        <w:rPr>
          <w:rFonts w:hint="eastAsia"/>
          <w:highlight w:val="none"/>
        </w:rPr>
        <w:t>管道安装完，闭水试验合格后，应立即进行沟槽回填；从管底基础至管顶0.5m范围内，沿管道、检查井两侧必须采用人工对称、分层回填石粉并压实（每层回填高度不大于0.2m），严禁用机械推土回填。管两侧分层压实可采取临时限位措施，防止管道上浮；管顶0.5m以上沟槽采用机械回填时，应从管轴线两侧同时均匀进行，做到分层回填、夯实、碾压，压实度须满足道路路基要求。</w:t>
      </w:r>
    </w:p>
    <w:p w14:paraId="07D6F995">
      <w:pPr>
        <w:pStyle w:val="65"/>
        <w:adjustRightInd w:val="0"/>
        <w:ind w:firstLine="480"/>
        <w:rPr>
          <w:rFonts w:ascii="Times New Roman" w:hAnsi="Times New Roman" w:cs="Times New Roman"/>
          <w:highlight w:val="none"/>
          <w:lang w:val="en-GB"/>
        </w:rPr>
      </w:pPr>
      <w:r>
        <w:rPr>
          <w:rFonts w:ascii="Times New Roman" w:hAnsi="Times New Roman" w:cs="Times New Roman"/>
          <w:highlight w:val="none"/>
          <w:lang w:val="en-GB"/>
        </w:rPr>
        <w:t>（</w:t>
      </w:r>
      <w:r>
        <w:rPr>
          <w:rFonts w:ascii="Times New Roman" w:hAnsi="Times New Roman" w:cs="Times New Roman"/>
          <w:highlight w:val="none"/>
        </w:rPr>
        <w:t>6</w:t>
      </w:r>
      <w:r>
        <w:rPr>
          <w:rFonts w:ascii="Times New Roman" w:hAnsi="Times New Roman" w:cs="Times New Roman"/>
          <w:highlight w:val="none"/>
          <w:lang w:val="en-GB"/>
        </w:rPr>
        <w:t>）施工开挖前应充分了解现场地下管线现状，核实无误方可开挖。</w:t>
      </w:r>
    </w:p>
    <w:p w14:paraId="5D317E2D">
      <w:pPr>
        <w:pStyle w:val="65"/>
        <w:adjustRightInd w:val="0"/>
        <w:ind w:firstLine="480"/>
        <w:rPr>
          <w:rFonts w:ascii="Times New Roman" w:hAnsi="Times New Roman" w:cs="Times New Roman"/>
          <w:szCs w:val="21"/>
          <w:highlight w:val="none"/>
        </w:rPr>
      </w:pPr>
      <w:r>
        <w:rPr>
          <w:rFonts w:ascii="Times New Roman" w:hAnsi="Times New Roman" w:cs="Times New Roman"/>
          <w:highlight w:val="none"/>
          <w:lang w:val="en-GB"/>
        </w:rPr>
        <w:t>（</w:t>
      </w:r>
      <w:r>
        <w:rPr>
          <w:rFonts w:ascii="Times New Roman" w:hAnsi="Times New Roman" w:cs="Times New Roman"/>
          <w:highlight w:val="none"/>
        </w:rPr>
        <w:t>7</w:t>
      </w:r>
      <w:r>
        <w:rPr>
          <w:rFonts w:ascii="Times New Roman" w:hAnsi="Times New Roman" w:cs="Times New Roman"/>
          <w:highlight w:val="none"/>
          <w:lang w:val="en-GB"/>
        </w:rPr>
        <w:t>）</w:t>
      </w:r>
      <w:r>
        <w:rPr>
          <w:rFonts w:ascii="Times New Roman" w:hAnsi="Times New Roman" w:cs="Times New Roman"/>
          <w:szCs w:val="21"/>
          <w:highlight w:val="none"/>
        </w:rPr>
        <w:t>排水管道在车行道下覆土不足0.7m时， 采用C20混凝土满包管20cm。</w:t>
      </w:r>
    </w:p>
    <w:p w14:paraId="4EC27544">
      <w:pPr>
        <w:pStyle w:val="19"/>
        <w:snapToGrid w:val="0"/>
        <w:spacing w:after="0" w:line="360" w:lineRule="auto"/>
        <w:jc w:val="left"/>
        <w:rPr>
          <w:snapToGrid/>
          <w:sz w:val="24"/>
          <w:szCs w:val="21"/>
          <w:highlight w:val="none"/>
        </w:rPr>
      </w:pPr>
      <w:r>
        <w:rPr>
          <w:snapToGrid/>
          <w:sz w:val="24"/>
          <w:szCs w:val="21"/>
          <w:highlight w:val="none"/>
        </w:rPr>
        <w:t>（8）新建污水管道建设完成后，需到区水务局申请办理公共排水设施接驳手续，在取得区水务局同意后方可进行接驳施工。新、旧排水管道接驳、改建，应注意管道通风，确保沼气浓度在安全范围施工，下井施工时应佩戴防毒面具及便携式硫化氢气体检测仪，在确保安全的前提下方可进行排水管道施工。</w:t>
      </w:r>
    </w:p>
    <w:p w14:paraId="15198148">
      <w:pPr>
        <w:pStyle w:val="65"/>
        <w:adjustRightInd w:val="0"/>
        <w:ind w:firstLine="480"/>
        <w:rPr>
          <w:rFonts w:ascii="Times New Roman" w:hAnsi="Times New Roman" w:cs="Times New Roman"/>
          <w:szCs w:val="21"/>
          <w:highlight w:val="none"/>
          <w:lang w:val="en-GB"/>
        </w:rPr>
      </w:pPr>
      <w:r>
        <w:rPr>
          <w:rFonts w:ascii="Times New Roman" w:hAnsi="Times New Roman" w:cs="Times New Roman"/>
          <w:szCs w:val="21"/>
          <w:highlight w:val="none"/>
        </w:rPr>
        <w:t>（9）雨水临时排水根据现场实际情况施工时现场确定，污水管道下游未贯通前，禁止街区污水接入。</w:t>
      </w:r>
    </w:p>
    <w:p w14:paraId="0E8156E4">
      <w:pPr>
        <w:pStyle w:val="7"/>
        <w:snapToGrid w:val="0"/>
        <w:spacing w:line="360" w:lineRule="auto"/>
        <w:ind w:firstLine="512"/>
        <w:jc w:val="left"/>
        <w:rPr>
          <w:rFonts w:cs="Times New Roman"/>
          <w:spacing w:val="0"/>
          <w:szCs w:val="24"/>
          <w:highlight w:val="none"/>
        </w:rPr>
      </w:pPr>
      <w:r>
        <w:rPr>
          <w:rFonts w:cs="Times New Roman"/>
          <w:highlight w:val="none"/>
          <w:lang w:val="en-GB"/>
        </w:rPr>
        <w:t>（</w:t>
      </w:r>
      <w:r>
        <w:rPr>
          <w:rFonts w:hint="eastAsia" w:cs="Times New Roman"/>
          <w:highlight w:val="none"/>
        </w:rPr>
        <w:t>10</w:t>
      </w:r>
      <w:r>
        <w:rPr>
          <w:rFonts w:cs="Times New Roman"/>
          <w:highlight w:val="none"/>
          <w:lang w:val="en-GB"/>
        </w:rPr>
        <w:t>）其他未尽事宜按《给水排水管道工程施工及验收规范》（GB50268‐2008）执行。</w:t>
      </w:r>
    </w:p>
    <w:p w14:paraId="12EF10FE">
      <w:pPr>
        <w:pStyle w:val="19"/>
        <w:snapToGrid w:val="0"/>
        <w:spacing w:after="0" w:line="360" w:lineRule="auto"/>
        <w:ind w:firstLine="480" w:firstLineChars="200"/>
        <w:jc w:val="left"/>
        <w:rPr>
          <w:snapToGrid/>
          <w:sz w:val="24"/>
          <w:szCs w:val="21"/>
          <w:highlight w:val="none"/>
        </w:rPr>
      </w:pPr>
      <w:r>
        <w:rPr>
          <w:rFonts w:hint="eastAsia"/>
          <w:snapToGrid/>
          <w:sz w:val="24"/>
          <w:szCs w:val="21"/>
          <w:highlight w:val="none"/>
        </w:rPr>
        <w:t>4）管道基坑监测</w:t>
      </w:r>
    </w:p>
    <w:p w14:paraId="786BA188">
      <w:pPr>
        <w:pStyle w:val="65"/>
        <w:adjustRightInd w:val="0"/>
        <w:ind w:firstLine="480"/>
        <w:rPr>
          <w:rFonts w:ascii="Times New Roman" w:hAnsi="Times New Roman" w:cs="Times New Roman"/>
          <w:highlight w:val="none"/>
          <w:lang w:val="en-GB"/>
        </w:rPr>
      </w:pPr>
      <w:r>
        <w:rPr>
          <w:rFonts w:hint="eastAsia" w:ascii="Times New Roman" w:hAnsi="Times New Roman" w:cs="Times New Roman"/>
          <w:highlight w:val="none"/>
          <w:lang w:val="en-GB"/>
        </w:rPr>
        <w:t>（</w:t>
      </w:r>
      <w:r>
        <w:rPr>
          <w:rFonts w:hint="eastAsia" w:ascii="Times New Roman" w:hAnsi="Times New Roman" w:cs="Times New Roman"/>
          <w:highlight w:val="none"/>
        </w:rPr>
        <w:t>1</w:t>
      </w:r>
      <w:r>
        <w:rPr>
          <w:rFonts w:hint="eastAsia" w:ascii="Times New Roman" w:hAnsi="Times New Roman" w:cs="Times New Roman"/>
          <w:highlight w:val="none"/>
          <w:lang w:val="en-GB"/>
        </w:rPr>
        <w:t>）本项目对槽钢支护的基坑均应实施基坑工程检测。</w:t>
      </w:r>
    </w:p>
    <w:p w14:paraId="5420E6A0">
      <w:pPr>
        <w:pStyle w:val="65"/>
        <w:adjustRightInd w:val="0"/>
        <w:ind w:firstLine="480"/>
        <w:rPr>
          <w:rFonts w:ascii="Times New Roman" w:hAnsi="Times New Roman" w:cs="Times New Roman"/>
          <w:highlight w:val="none"/>
          <w:lang w:val="en-GB"/>
        </w:rPr>
      </w:pPr>
      <w:r>
        <w:rPr>
          <w:rFonts w:hint="eastAsia" w:ascii="Times New Roman" w:hAnsi="Times New Roman" w:cs="Times New Roman"/>
          <w:highlight w:val="none"/>
          <w:lang w:val="en-GB"/>
        </w:rPr>
        <w:t>（</w:t>
      </w:r>
      <w:r>
        <w:rPr>
          <w:rFonts w:hint="eastAsia" w:ascii="Times New Roman" w:hAnsi="Times New Roman" w:cs="Times New Roman"/>
          <w:highlight w:val="none"/>
        </w:rPr>
        <w:t>2</w:t>
      </w:r>
      <w:r>
        <w:rPr>
          <w:rFonts w:hint="eastAsia" w:ascii="Times New Roman" w:hAnsi="Times New Roman" w:cs="Times New Roman"/>
          <w:highlight w:val="none"/>
          <w:lang w:val="en-GB"/>
        </w:rPr>
        <w:t>）由建设单位委托具备相应资质的第三方对基坑工程实施现场监测。基坑监测过程中，必须保证各监测项目测量精度。每一监测项目都应根据保护对象的实际情况，事先确定相应报警值，以判定是否超出允许的范围，判断工程施工是否安全可靠，是否需调整施工顺序和优化设计方案。各监测项目的精度或未尽事宜要满足广东省地标《建筑基坑施工监测技术标准》（DBJ</w:t>
      </w:r>
      <w:r>
        <w:rPr>
          <w:rFonts w:hint="eastAsia" w:ascii="Times New Roman" w:hAnsi="Times New Roman" w:cs="Times New Roman"/>
          <w:highlight w:val="none"/>
        </w:rPr>
        <w:t>/</w:t>
      </w:r>
      <w:r>
        <w:rPr>
          <w:rFonts w:hint="eastAsia" w:ascii="Times New Roman" w:hAnsi="Times New Roman" w:cs="Times New Roman"/>
          <w:highlight w:val="none"/>
          <w:lang w:val="en-GB"/>
        </w:rPr>
        <w:t>T</w:t>
      </w:r>
      <w:r>
        <w:rPr>
          <w:rFonts w:hint="eastAsia" w:ascii="Times New Roman" w:hAnsi="Times New Roman" w:cs="Times New Roman"/>
          <w:highlight w:val="none"/>
        </w:rPr>
        <w:t xml:space="preserve"> </w:t>
      </w:r>
      <w:r>
        <w:rPr>
          <w:rFonts w:hint="eastAsia" w:ascii="Times New Roman" w:hAnsi="Times New Roman" w:cs="Times New Roman"/>
          <w:highlight w:val="none"/>
          <w:lang w:val="en-GB"/>
        </w:rPr>
        <w:t>15-162</w:t>
      </w:r>
      <w:r>
        <w:rPr>
          <w:rFonts w:hint="eastAsia" w:ascii="Times New Roman" w:hAnsi="Times New Roman" w:cs="Times New Roman"/>
          <w:highlight w:val="none"/>
        </w:rPr>
        <w:t xml:space="preserve"> </w:t>
      </w:r>
      <w:r>
        <w:rPr>
          <w:rFonts w:hint="eastAsia" w:ascii="Times New Roman" w:hAnsi="Times New Roman" w:cs="Times New Roman"/>
          <w:highlight w:val="none"/>
          <w:lang w:val="en-GB"/>
        </w:rPr>
        <w:t>2019）及相关规范规程的要求,报警值见表2。监测项目及位置的断面布置详见管道基坑支护大样图。</w:t>
      </w:r>
    </w:p>
    <w:p w14:paraId="0D3C6AA9">
      <w:pPr>
        <w:tabs>
          <w:tab w:val="left" w:pos="420"/>
        </w:tabs>
        <w:adjustRightInd w:val="0"/>
        <w:snapToGrid w:val="0"/>
        <w:spacing w:line="240" w:lineRule="auto"/>
        <w:ind w:firstLine="0" w:firstLineChars="0"/>
        <w:jc w:val="center"/>
        <w:rPr>
          <w:rFonts w:ascii="宋体" w:hAnsi="宋体" w:cs="宋体"/>
          <w:kern w:val="0"/>
          <w:szCs w:val="24"/>
          <w:highlight w:val="none"/>
        </w:rPr>
      </w:pPr>
      <w:r>
        <w:rPr>
          <w:rFonts w:hint="eastAsia" w:ascii="宋体" w:hAnsi="宋体" w:cs="宋体"/>
          <w:kern w:val="0"/>
          <w:szCs w:val="24"/>
          <w:highlight w:val="none"/>
        </w:rPr>
        <w:t>表2监测点及监测要求</w:t>
      </w:r>
    </w:p>
    <w:tbl>
      <w:tblPr>
        <w:tblStyle w:val="20"/>
        <w:tblW w:w="102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2245"/>
        <w:gridCol w:w="1223"/>
        <w:gridCol w:w="1984"/>
        <w:gridCol w:w="1985"/>
        <w:gridCol w:w="2108"/>
      </w:tblGrid>
      <w:tr w14:paraId="1FB9C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1" w:type="dxa"/>
            <w:vMerge w:val="restart"/>
            <w:vAlign w:val="center"/>
          </w:tcPr>
          <w:p w14:paraId="61D4836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序号</w:t>
            </w:r>
          </w:p>
        </w:tc>
        <w:tc>
          <w:tcPr>
            <w:tcW w:w="2245" w:type="dxa"/>
            <w:vMerge w:val="restart"/>
            <w:vAlign w:val="center"/>
          </w:tcPr>
          <w:p w14:paraId="30C1CE20">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监测项目</w:t>
            </w:r>
          </w:p>
        </w:tc>
        <w:tc>
          <w:tcPr>
            <w:tcW w:w="1223" w:type="dxa"/>
            <w:vMerge w:val="restart"/>
            <w:vAlign w:val="center"/>
          </w:tcPr>
          <w:p w14:paraId="160D74F3">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符号</w:t>
            </w:r>
          </w:p>
        </w:tc>
        <w:tc>
          <w:tcPr>
            <w:tcW w:w="1984" w:type="dxa"/>
            <w:vMerge w:val="restart"/>
            <w:vAlign w:val="center"/>
          </w:tcPr>
          <w:p w14:paraId="1D4C4128">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监测间距及数量</w:t>
            </w:r>
          </w:p>
        </w:tc>
        <w:tc>
          <w:tcPr>
            <w:tcW w:w="1985" w:type="dxa"/>
            <w:vMerge w:val="restart"/>
            <w:vAlign w:val="center"/>
          </w:tcPr>
          <w:p w14:paraId="116C5BD3">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检测目的</w:t>
            </w:r>
          </w:p>
        </w:tc>
        <w:tc>
          <w:tcPr>
            <w:tcW w:w="2108" w:type="dxa"/>
            <w:vAlign w:val="center"/>
          </w:tcPr>
          <w:p w14:paraId="050B5B4A">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监测频率</w:t>
            </w:r>
          </w:p>
        </w:tc>
      </w:tr>
      <w:tr w14:paraId="0E9DF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1" w:type="dxa"/>
            <w:vMerge w:val="continue"/>
            <w:vAlign w:val="center"/>
          </w:tcPr>
          <w:p w14:paraId="35A3E950">
            <w:pPr>
              <w:tabs>
                <w:tab w:val="left" w:pos="420"/>
              </w:tabs>
              <w:adjustRightInd w:val="0"/>
              <w:snapToGrid w:val="0"/>
              <w:spacing w:line="240" w:lineRule="auto"/>
              <w:ind w:firstLine="0" w:firstLineChars="0"/>
              <w:jc w:val="center"/>
              <w:rPr>
                <w:rFonts w:cs="Times New Roman"/>
                <w:kern w:val="0"/>
                <w:szCs w:val="24"/>
                <w:highlight w:val="none"/>
              </w:rPr>
            </w:pPr>
          </w:p>
        </w:tc>
        <w:tc>
          <w:tcPr>
            <w:tcW w:w="2245" w:type="dxa"/>
            <w:vMerge w:val="continue"/>
            <w:vAlign w:val="center"/>
          </w:tcPr>
          <w:p w14:paraId="6C3A796D">
            <w:pPr>
              <w:tabs>
                <w:tab w:val="left" w:pos="420"/>
              </w:tabs>
              <w:adjustRightInd w:val="0"/>
              <w:snapToGrid w:val="0"/>
              <w:spacing w:line="240" w:lineRule="auto"/>
              <w:ind w:firstLine="0" w:firstLineChars="0"/>
              <w:jc w:val="center"/>
              <w:rPr>
                <w:rFonts w:cs="Times New Roman"/>
                <w:kern w:val="0"/>
                <w:szCs w:val="24"/>
                <w:highlight w:val="none"/>
              </w:rPr>
            </w:pPr>
          </w:p>
        </w:tc>
        <w:tc>
          <w:tcPr>
            <w:tcW w:w="1223" w:type="dxa"/>
            <w:vMerge w:val="continue"/>
            <w:vAlign w:val="center"/>
          </w:tcPr>
          <w:p w14:paraId="1A5142DC">
            <w:pPr>
              <w:tabs>
                <w:tab w:val="left" w:pos="420"/>
              </w:tabs>
              <w:adjustRightInd w:val="0"/>
              <w:snapToGrid w:val="0"/>
              <w:spacing w:line="240" w:lineRule="auto"/>
              <w:ind w:firstLine="0" w:firstLineChars="0"/>
              <w:jc w:val="center"/>
              <w:rPr>
                <w:rFonts w:cs="Times New Roman"/>
                <w:kern w:val="0"/>
                <w:szCs w:val="24"/>
                <w:highlight w:val="none"/>
              </w:rPr>
            </w:pPr>
          </w:p>
        </w:tc>
        <w:tc>
          <w:tcPr>
            <w:tcW w:w="1984" w:type="dxa"/>
            <w:vMerge w:val="continue"/>
            <w:vAlign w:val="center"/>
          </w:tcPr>
          <w:p w14:paraId="3A7EB9EE">
            <w:pPr>
              <w:tabs>
                <w:tab w:val="left" w:pos="420"/>
              </w:tabs>
              <w:adjustRightInd w:val="0"/>
              <w:snapToGrid w:val="0"/>
              <w:spacing w:line="240" w:lineRule="auto"/>
              <w:ind w:firstLine="0" w:firstLineChars="0"/>
              <w:jc w:val="center"/>
              <w:rPr>
                <w:rFonts w:cs="Times New Roman"/>
                <w:kern w:val="0"/>
                <w:szCs w:val="24"/>
                <w:highlight w:val="none"/>
              </w:rPr>
            </w:pPr>
          </w:p>
        </w:tc>
        <w:tc>
          <w:tcPr>
            <w:tcW w:w="1985" w:type="dxa"/>
            <w:vMerge w:val="continue"/>
            <w:vAlign w:val="center"/>
          </w:tcPr>
          <w:p w14:paraId="2AAFA84B">
            <w:pPr>
              <w:tabs>
                <w:tab w:val="left" w:pos="420"/>
              </w:tabs>
              <w:adjustRightInd w:val="0"/>
              <w:snapToGrid w:val="0"/>
              <w:spacing w:line="240" w:lineRule="auto"/>
              <w:ind w:firstLine="0" w:firstLineChars="0"/>
              <w:jc w:val="center"/>
              <w:rPr>
                <w:rFonts w:cs="Times New Roman"/>
                <w:kern w:val="0"/>
                <w:szCs w:val="24"/>
                <w:highlight w:val="none"/>
              </w:rPr>
            </w:pPr>
          </w:p>
        </w:tc>
        <w:tc>
          <w:tcPr>
            <w:tcW w:w="2108" w:type="dxa"/>
            <w:vAlign w:val="center"/>
          </w:tcPr>
          <w:p w14:paraId="2FD80E01">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管道敷设期间</w:t>
            </w:r>
          </w:p>
        </w:tc>
      </w:tr>
      <w:tr w14:paraId="251A3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21" w:type="dxa"/>
            <w:vAlign w:val="center"/>
          </w:tcPr>
          <w:p w14:paraId="5E2BE413">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1</w:t>
            </w:r>
          </w:p>
        </w:tc>
        <w:tc>
          <w:tcPr>
            <w:tcW w:w="2245" w:type="dxa"/>
            <w:vAlign w:val="center"/>
          </w:tcPr>
          <w:p w14:paraId="54D998CC">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支护结构水平位移</w:t>
            </w:r>
          </w:p>
        </w:tc>
        <w:tc>
          <w:tcPr>
            <w:tcW w:w="1223" w:type="dxa"/>
            <w:vAlign w:val="center"/>
          </w:tcPr>
          <w:p w14:paraId="3AC7B987">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drawing>
                <wp:inline distT="0" distB="0" distL="114300" distR="114300">
                  <wp:extent cx="417830" cy="217805"/>
                  <wp:effectExtent l="0" t="0" r="1270" b="1079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2"/>
                          <a:stretch>
                            <a:fillRect/>
                          </a:stretch>
                        </pic:blipFill>
                        <pic:spPr>
                          <a:xfrm>
                            <a:off x="0" y="0"/>
                            <a:ext cx="417830" cy="217805"/>
                          </a:xfrm>
                          <a:prstGeom prst="rect">
                            <a:avLst/>
                          </a:prstGeom>
                          <a:noFill/>
                          <a:ln>
                            <a:noFill/>
                          </a:ln>
                        </pic:spPr>
                      </pic:pic>
                    </a:graphicData>
                  </a:graphic>
                </wp:inline>
              </w:drawing>
            </w:r>
          </w:p>
        </w:tc>
        <w:tc>
          <w:tcPr>
            <w:tcW w:w="1984" w:type="dxa"/>
            <w:vMerge w:val="restart"/>
            <w:vAlign w:val="center"/>
          </w:tcPr>
          <w:p w14:paraId="1B254DB5">
            <w:pPr>
              <w:tabs>
                <w:tab w:val="left" w:pos="420"/>
              </w:tabs>
              <w:adjustRightInd w:val="0"/>
              <w:snapToGrid w:val="0"/>
              <w:spacing w:line="240" w:lineRule="auto"/>
              <w:ind w:firstLine="0" w:firstLineChars="0"/>
              <w:jc w:val="left"/>
              <w:rPr>
                <w:rFonts w:cs="Times New Roman"/>
                <w:kern w:val="0"/>
                <w:szCs w:val="24"/>
                <w:highlight w:val="none"/>
              </w:rPr>
            </w:pPr>
            <w:r>
              <w:rPr>
                <w:rFonts w:cs="Times New Roman"/>
                <w:kern w:val="0"/>
                <w:szCs w:val="24"/>
                <w:highlight w:val="none"/>
              </w:rPr>
              <w:t>监测点间距不大于20m，每边检测数目不应小于3个</w:t>
            </w:r>
          </w:p>
        </w:tc>
        <w:tc>
          <w:tcPr>
            <w:tcW w:w="1985" w:type="dxa"/>
            <w:vAlign w:val="center"/>
          </w:tcPr>
          <w:p w14:paraId="0122CE2F">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钢板桩顶部水平位移情况</w:t>
            </w:r>
          </w:p>
        </w:tc>
        <w:tc>
          <w:tcPr>
            <w:tcW w:w="2108" w:type="dxa"/>
            <w:vAlign w:val="center"/>
          </w:tcPr>
          <w:p w14:paraId="2F4C81BF">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每天一次</w:t>
            </w:r>
          </w:p>
        </w:tc>
      </w:tr>
      <w:tr w14:paraId="765D5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21" w:type="dxa"/>
            <w:vAlign w:val="center"/>
          </w:tcPr>
          <w:p w14:paraId="79CA818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2</w:t>
            </w:r>
          </w:p>
        </w:tc>
        <w:tc>
          <w:tcPr>
            <w:tcW w:w="2245" w:type="dxa"/>
            <w:vAlign w:val="center"/>
          </w:tcPr>
          <w:p w14:paraId="68D7E39B">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支护结构沉降位移</w:t>
            </w:r>
          </w:p>
        </w:tc>
        <w:tc>
          <w:tcPr>
            <w:tcW w:w="1223" w:type="dxa"/>
            <w:vAlign w:val="center"/>
          </w:tcPr>
          <w:p w14:paraId="3D43A58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drawing>
                <wp:inline distT="0" distB="0" distL="114300" distR="114300">
                  <wp:extent cx="417830" cy="217805"/>
                  <wp:effectExtent l="0" t="0" r="1270" b="1079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3"/>
                          <a:stretch>
                            <a:fillRect/>
                          </a:stretch>
                        </pic:blipFill>
                        <pic:spPr>
                          <a:xfrm>
                            <a:off x="0" y="0"/>
                            <a:ext cx="417830" cy="217805"/>
                          </a:xfrm>
                          <a:prstGeom prst="rect">
                            <a:avLst/>
                          </a:prstGeom>
                          <a:noFill/>
                          <a:ln>
                            <a:noFill/>
                          </a:ln>
                        </pic:spPr>
                      </pic:pic>
                    </a:graphicData>
                  </a:graphic>
                </wp:inline>
              </w:drawing>
            </w:r>
          </w:p>
        </w:tc>
        <w:tc>
          <w:tcPr>
            <w:tcW w:w="1984" w:type="dxa"/>
            <w:vMerge w:val="continue"/>
            <w:vAlign w:val="center"/>
          </w:tcPr>
          <w:p w14:paraId="6731D4F4">
            <w:pPr>
              <w:tabs>
                <w:tab w:val="left" w:pos="420"/>
              </w:tabs>
              <w:adjustRightInd w:val="0"/>
              <w:snapToGrid w:val="0"/>
              <w:spacing w:line="240" w:lineRule="auto"/>
              <w:ind w:firstLine="0" w:firstLineChars="0"/>
              <w:jc w:val="center"/>
              <w:rPr>
                <w:rFonts w:cs="Times New Roman"/>
                <w:kern w:val="0"/>
                <w:szCs w:val="24"/>
                <w:highlight w:val="none"/>
              </w:rPr>
            </w:pPr>
          </w:p>
        </w:tc>
        <w:tc>
          <w:tcPr>
            <w:tcW w:w="1985" w:type="dxa"/>
            <w:vAlign w:val="center"/>
          </w:tcPr>
          <w:p w14:paraId="7DC37538">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钢板桩顶部竖向位移情况</w:t>
            </w:r>
          </w:p>
        </w:tc>
        <w:tc>
          <w:tcPr>
            <w:tcW w:w="2108" w:type="dxa"/>
            <w:vAlign w:val="center"/>
          </w:tcPr>
          <w:p w14:paraId="4E74EAB7">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每天一次</w:t>
            </w:r>
          </w:p>
        </w:tc>
      </w:tr>
    </w:tbl>
    <w:p w14:paraId="7583AE40">
      <w:pPr>
        <w:tabs>
          <w:tab w:val="left" w:pos="420"/>
        </w:tabs>
        <w:adjustRightInd w:val="0"/>
        <w:snapToGrid w:val="0"/>
        <w:ind w:firstLine="0" w:firstLineChars="0"/>
        <w:jc w:val="left"/>
        <w:rPr>
          <w:rFonts w:ascii="宋体" w:hAnsi="宋体" w:cs="宋体"/>
          <w:kern w:val="0"/>
          <w:szCs w:val="24"/>
          <w:highlight w:val="none"/>
        </w:rPr>
      </w:pPr>
    </w:p>
    <w:p w14:paraId="57C0B579">
      <w:pPr>
        <w:tabs>
          <w:tab w:val="left" w:pos="420"/>
        </w:tabs>
        <w:adjustRightInd w:val="0"/>
        <w:snapToGrid w:val="0"/>
        <w:spacing w:line="240" w:lineRule="auto"/>
        <w:ind w:firstLine="0" w:firstLineChars="0"/>
        <w:jc w:val="center"/>
        <w:rPr>
          <w:rFonts w:ascii="宋体" w:hAnsi="宋体" w:cs="宋体"/>
          <w:kern w:val="0"/>
          <w:szCs w:val="24"/>
          <w:highlight w:val="none"/>
        </w:rPr>
      </w:pPr>
      <w:r>
        <w:rPr>
          <w:rFonts w:hint="eastAsia" w:ascii="宋体" w:hAnsi="宋体" w:cs="宋体"/>
          <w:kern w:val="0"/>
          <w:szCs w:val="24"/>
          <w:highlight w:val="none"/>
        </w:rPr>
        <w:t>表3监测项目报警值</w:t>
      </w:r>
    </w:p>
    <w:tbl>
      <w:tblPr>
        <w:tblStyle w:val="20"/>
        <w:tblW w:w="102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
        <w:gridCol w:w="2614"/>
        <w:gridCol w:w="964"/>
        <w:gridCol w:w="1808"/>
        <w:gridCol w:w="1912"/>
        <w:gridCol w:w="2231"/>
      </w:tblGrid>
      <w:tr w14:paraId="004F6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dxa"/>
            <w:vMerge w:val="restart"/>
            <w:vAlign w:val="center"/>
          </w:tcPr>
          <w:p w14:paraId="16FED64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序号</w:t>
            </w:r>
          </w:p>
        </w:tc>
        <w:tc>
          <w:tcPr>
            <w:tcW w:w="2614" w:type="dxa"/>
            <w:vMerge w:val="restart"/>
            <w:vAlign w:val="center"/>
          </w:tcPr>
          <w:p w14:paraId="496F03CF">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项目</w:t>
            </w:r>
          </w:p>
        </w:tc>
        <w:tc>
          <w:tcPr>
            <w:tcW w:w="964" w:type="dxa"/>
            <w:vMerge w:val="restart"/>
            <w:vAlign w:val="center"/>
          </w:tcPr>
          <w:p w14:paraId="42F207DF">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单位</w:t>
            </w:r>
          </w:p>
        </w:tc>
        <w:tc>
          <w:tcPr>
            <w:tcW w:w="3720" w:type="dxa"/>
            <w:gridSpan w:val="2"/>
            <w:vAlign w:val="center"/>
          </w:tcPr>
          <w:p w14:paraId="5A24D08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报警值</w:t>
            </w:r>
          </w:p>
        </w:tc>
        <w:tc>
          <w:tcPr>
            <w:tcW w:w="2231" w:type="dxa"/>
            <w:vMerge w:val="restart"/>
            <w:vAlign w:val="center"/>
          </w:tcPr>
          <w:p w14:paraId="51608EB4">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备注</w:t>
            </w:r>
          </w:p>
        </w:tc>
      </w:tr>
      <w:tr w14:paraId="658D0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5" w:type="dxa"/>
            <w:vMerge w:val="continue"/>
            <w:vAlign w:val="center"/>
          </w:tcPr>
          <w:p w14:paraId="01A46CB0">
            <w:pPr>
              <w:tabs>
                <w:tab w:val="left" w:pos="420"/>
              </w:tabs>
              <w:adjustRightInd w:val="0"/>
              <w:snapToGrid w:val="0"/>
              <w:spacing w:line="240" w:lineRule="auto"/>
              <w:ind w:firstLine="0" w:firstLineChars="0"/>
              <w:jc w:val="center"/>
              <w:rPr>
                <w:rFonts w:cs="Times New Roman"/>
                <w:kern w:val="0"/>
                <w:szCs w:val="24"/>
                <w:highlight w:val="none"/>
              </w:rPr>
            </w:pPr>
          </w:p>
        </w:tc>
        <w:tc>
          <w:tcPr>
            <w:tcW w:w="2614" w:type="dxa"/>
            <w:vMerge w:val="continue"/>
            <w:vAlign w:val="center"/>
          </w:tcPr>
          <w:p w14:paraId="1BEA4800">
            <w:pPr>
              <w:tabs>
                <w:tab w:val="left" w:pos="420"/>
              </w:tabs>
              <w:adjustRightInd w:val="0"/>
              <w:snapToGrid w:val="0"/>
              <w:spacing w:line="240" w:lineRule="auto"/>
              <w:ind w:firstLine="0" w:firstLineChars="0"/>
              <w:jc w:val="center"/>
              <w:rPr>
                <w:rFonts w:cs="Times New Roman"/>
                <w:kern w:val="0"/>
                <w:szCs w:val="24"/>
                <w:highlight w:val="none"/>
              </w:rPr>
            </w:pPr>
          </w:p>
        </w:tc>
        <w:tc>
          <w:tcPr>
            <w:tcW w:w="964" w:type="dxa"/>
            <w:vMerge w:val="continue"/>
            <w:vAlign w:val="center"/>
          </w:tcPr>
          <w:p w14:paraId="05D8E25C">
            <w:pPr>
              <w:tabs>
                <w:tab w:val="left" w:pos="420"/>
              </w:tabs>
              <w:adjustRightInd w:val="0"/>
              <w:snapToGrid w:val="0"/>
              <w:spacing w:line="240" w:lineRule="auto"/>
              <w:ind w:firstLine="0" w:firstLineChars="0"/>
              <w:jc w:val="center"/>
              <w:rPr>
                <w:rFonts w:cs="Times New Roman"/>
                <w:kern w:val="0"/>
                <w:szCs w:val="24"/>
                <w:highlight w:val="none"/>
              </w:rPr>
            </w:pPr>
          </w:p>
        </w:tc>
        <w:tc>
          <w:tcPr>
            <w:tcW w:w="1808" w:type="dxa"/>
            <w:vAlign w:val="center"/>
          </w:tcPr>
          <w:p w14:paraId="6C709E9D">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控制值</w:t>
            </w:r>
          </w:p>
        </w:tc>
        <w:tc>
          <w:tcPr>
            <w:tcW w:w="1912" w:type="dxa"/>
            <w:vAlign w:val="center"/>
          </w:tcPr>
          <w:p w14:paraId="3781D9E8">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每天变化量</w:t>
            </w:r>
          </w:p>
        </w:tc>
        <w:tc>
          <w:tcPr>
            <w:tcW w:w="2231" w:type="dxa"/>
            <w:vMerge w:val="continue"/>
            <w:vAlign w:val="center"/>
          </w:tcPr>
          <w:p w14:paraId="0B917047">
            <w:pPr>
              <w:tabs>
                <w:tab w:val="left" w:pos="420"/>
              </w:tabs>
              <w:adjustRightInd w:val="0"/>
              <w:snapToGrid w:val="0"/>
              <w:spacing w:line="240" w:lineRule="auto"/>
              <w:ind w:firstLine="0" w:firstLineChars="0"/>
              <w:jc w:val="center"/>
              <w:rPr>
                <w:rFonts w:cs="Times New Roman"/>
                <w:kern w:val="0"/>
                <w:szCs w:val="24"/>
                <w:highlight w:val="none"/>
              </w:rPr>
            </w:pPr>
          </w:p>
        </w:tc>
      </w:tr>
      <w:tr w14:paraId="0071B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5" w:type="dxa"/>
            <w:vAlign w:val="center"/>
          </w:tcPr>
          <w:p w14:paraId="6DB31B5E">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1</w:t>
            </w:r>
          </w:p>
        </w:tc>
        <w:tc>
          <w:tcPr>
            <w:tcW w:w="2614" w:type="dxa"/>
            <w:vAlign w:val="center"/>
          </w:tcPr>
          <w:p w14:paraId="0B2DCB81">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支护结构水平位移(P)</w:t>
            </w:r>
          </w:p>
        </w:tc>
        <w:tc>
          <w:tcPr>
            <w:tcW w:w="964" w:type="dxa"/>
            <w:vAlign w:val="center"/>
          </w:tcPr>
          <w:p w14:paraId="76E4CC22">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mm</w:t>
            </w:r>
          </w:p>
        </w:tc>
        <w:tc>
          <w:tcPr>
            <w:tcW w:w="1808" w:type="dxa"/>
            <w:vAlign w:val="center"/>
          </w:tcPr>
          <w:p w14:paraId="42781E00">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0.6%~0.8%h</w:t>
            </w:r>
          </w:p>
        </w:tc>
        <w:tc>
          <w:tcPr>
            <w:tcW w:w="1912" w:type="dxa"/>
            <w:vAlign w:val="center"/>
          </w:tcPr>
          <w:p w14:paraId="1523C45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8.0</w:t>
            </w:r>
          </w:p>
        </w:tc>
        <w:tc>
          <w:tcPr>
            <w:tcW w:w="2231" w:type="dxa"/>
            <w:vAlign w:val="center"/>
          </w:tcPr>
          <w:p w14:paraId="182FE505">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h为基坑开挖深度</w:t>
            </w:r>
          </w:p>
        </w:tc>
      </w:tr>
      <w:tr w14:paraId="58469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65" w:type="dxa"/>
            <w:vAlign w:val="center"/>
          </w:tcPr>
          <w:p w14:paraId="25D7BEF8">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2</w:t>
            </w:r>
          </w:p>
        </w:tc>
        <w:tc>
          <w:tcPr>
            <w:tcW w:w="2614" w:type="dxa"/>
            <w:vAlign w:val="center"/>
          </w:tcPr>
          <w:p w14:paraId="60C5E85D">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支护结构沉降位移(P)</w:t>
            </w:r>
          </w:p>
        </w:tc>
        <w:tc>
          <w:tcPr>
            <w:tcW w:w="964" w:type="dxa"/>
            <w:vAlign w:val="center"/>
          </w:tcPr>
          <w:p w14:paraId="23702CF0">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mm</w:t>
            </w:r>
          </w:p>
        </w:tc>
        <w:tc>
          <w:tcPr>
            <w:tcW w:w="1808" w:type="dxa"/>
            <w:vAlign w:val="center"/>
          </w:tcPr>
          <w:p w14:paraId="2178B99F">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0.5%~0.6%h</w:t>
            </w:r>
          </w:p>
        </w:tc>
        <w:tc>
          <w:tcPr>
            <w:tcW w:w="1912" w:type="dxa"/>
            <w:vAlign w:val="center"/>
          </w:tcPr>
          <w:p w14:paraId="2F75D8B6">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4.0</w:t>
            </w:r>
          </w:p>
        </w:tc>
        <w:tc>
          <w:tcPr>
            <w:tcW w:w="2231" w:type="dxa"/>
            <w:vAlign w:val="center"/>
          </w:tcPr>
          <w:p w14:paraId="570790B0">
            <w:pPr>
              <w:tabs>
                <w:tab w:val="left" w:pos="420"/>
              </w:tabs>
              <w:adjustRightInd w:val="0"/>
              <w:snapToGrid w:val="0"/>
              <w:spacing w:line="240" w:lineRule="auto"/>
              <w:ind w:firstLine="0" w:firstLineChars="0"/>
              <w:jc w:val="center"/>
              <w:rPr>
                <w:rFonts w:cs="Times New Roman"/>
                <w:kern w:val="0"/>
                <w:szCs w:val="24"/>
                <w:highlight w:val="none"/>
              </w:rPr>
            </w:pPr>
            <w:r>
              <w:rPr>
                <w:rFonts w:cs="Times New Roman"/>
                <w:kern w:val="0"/>
                <w:szCs w:val="24"/>
                <w:highlight w:val="none"/>
              </w:rPr>
              <w:t>h为基坑开挖深度</w:t>
            </w:r>
          </w:p>
        </w:tc>
      </w:tr>
    </w:tbl>
    <w:p w14:paraId="2F5DB669">
      <w:pPr>
        <w:pStyle w:val="7"/>
        <w:snapToGrid w:val="0"/>
        <w:spacing w:line="360" w:lineRule="auto"/>
        <w:ind w:firstLine="512"/>
        <w:jc w:val="left"/>
        <w:rPr>
          <w:rFonts w:cs="Times New Roman"/>
          <w:spacing w:val="0"/>
          <w:szCs w:val="24"/>
          <w:highlight w:val="none"/>
        </w:rPr>
      </w:pPr>
      <w:r>
        <w:rPr>
          <w:rFonts w:hint="eastAsia" w:ascii="宋体" w:hAnsi="宋体" w:cs="宋体"/>
          <w:snapToGrid w:val="0"/>
          <w:szCs w:val="24"/>
          <w:highlight w:val="none"/>
        </w:rPr>
        <w:t>注：监测值超警戒值时，监测4次/天。</w:t>
      </w:r>
    </w:p>
    <w:p w14:paraId="6ED0959B">
      <w:pPr>
        <w:pStyle w:val="4"/>
        <w:spacing w:before="163" w:after="163"/>
        <w:ind w:firstLine="560"/>
        <w:rPr>
          <w:color w:val="auto"/>
          <w:highlight w:val="none"/>
        </w:rPr>
      </w:pPr>
      <w:r>
        <w:rPr>
          <w:rFonts w:hint="eastAsia"/>
          <w:color w:val="auto"/>
          <w:highlight w:val="none"/>
        </w:rPr>
        <w:t xml:space="preserve"> </w:t>
      </w:r>
      <w:bookmarkStart w:id="18" w:name="_Toc29600"/>
      <w:r>
        <w:rPr>
          <w:rFonts w:hint="eastAsia"/>
          <w:color w:val="auto"/>
          <w:highlight w:val="none"/>
        </w:rPr>
        <w:t>管材及管道附属构筑物</w:t>
      </w:r>
      <w:bookmarkEnd w:id="18"/>
    </w:p>
    <w:p w14:paraId="53084628">
      <w:pPr>
        <w:pStyle w:val="5"/>
        <w:numPr>
          <w:ilvl w:val="0"/>
          <w:numId w:val="0"/>
        </w:numPr>
        <w:ind w:firstLine="482" w:firstLineChars="200"/>
        <w:rPr>
          <w:color w:val="auto"/>
          <w:highlight w:val="none"/>
        </w:rPr>
      </w:pPr>
      <w:r>
        <w:rPr>
          <w:rFonts w:hint="eastAsia"/>
          <w:color w:val="auto"/>
          <w:highlight w:val="none"/>
        </w:rPr>
        <w:t>1</w:t>
      </w:r>
      <w:r>
        <w:rPr>
          <w:color w:val="auto"/>
          <w:highlight w:val="none"/>
        </w:rPr>
        <w:t>.1.</w:t>
      </w:r>
      <w:r>
        <w:rPr>
          <w:rFonts w:hint="eastAsia"/>
          <w:color w:val="auto"/>
          <w:highlight w:val="none"/>
        </w:rPr>
        <w:t>10</w:t>
      </w:r>
      <w:r>
        <w:rPr>
          <w:color w:val="auto"/>
          <w:highlight w:val="none"/>
        </w:rPr>
        <w:t>.1</w:t>
      </w:r>
      <w:r>
        <w:rPr>
          <w:rFonts w:hint="eastAsia"/>
          <w:color w:val="auto"/>
          <w:highlight w:val="none"/>
        </w:rPr>
        <w:t>管材选用如下：</w:t>
      </w:r>
    </w:p>
    <w:p w14:paraId="7F784744">
      <w:pPr>
        <w:ind w:firstLine="480"/>
        <w:rPr>
          <w:highlight w:val="none"/>
        </w:rPr>
      </w:pPr>
      <w:r>
        <w:rPr>
          <w:rFonts w:hint="eastAsia"/>
          <w:highlight w:val="none"/>
        </w:rPr>
        <w:t>（</w:t>
      </w:r>
      <w:r>
        <w:rPr>
          <w:highlight w:val="none"/>
        </w:rPr>
        <w:t>1</w:t>
      </w:r>
      <w:r>
        <w:rPr>
          <w:rFonts w:hint="eastAsia"/>
          <w:highlight w:val="none"/>
        </w:rPr>
        <w:t>）雨水管材</w:t>
      </w:r>
    </w:p>
    <w:p w14:paraId="4452FAA2">
      <w:pPr>
        <w:ind w:firstLine="480"/>
        <w:rPr>
          <w:highlight w:val="none"/>
        </w:rPr>
      </w:pPr>
      <w:r>
        <w:rPr>
          <w:rFonts w:hint="eastAsia"/>
          <w:highlight w:val="none"/>
        </w:rPr>
        <w:t>管径在d</w:t>
      </w:r>
      <w:r>
        <w:rPr>
          <w:highlight w:val="none"/>
        </w:rPr>
        <w:t>500</w:t>
      </w:r>
      <w:r>
        <w:rPr>
          <w:rFonts w:hint="eastAsia"/>
          <w:highlight w:val="none"/>
        </w:rPr>
        <w:t>以上的雨水管采用Ⅱ级钢筋砼管，承插式连接，橡胶圈接口，采用</w:t>
      </w:r>
      <w:r>
        <w:rPr>
          <w:highlight w:val="none"/>
        </w:rPr>
        <w:t>120</w:t>
      </w:r>
      <w:r>
        <w:rPr>
          <w:rFonts w:hint="eastAsia"/>
          <w:highlight w:val="none"/>
        </w:rPr>
        <w:t>°带状混凝土基础。管材执行</w:t>
      </w:r>
      <w:r>
        <w:rPr>
          <w:rFonts w:hint="eastAsia"/>
          <w:highlight w:val="none"/>
          <w:lang w:eastAsia="zh-CN"/>
        </w:rPr>
        <w:t>《混凝土和钢筋混凝土排水管》（GB/T11836-2023）</w:t>
      </w:r>
      <w:r>
        <w:rPr>
          <w:rFonts w:hint="eastAsia"/>
          <w:highlight w:val="none"/>
        </w:rPr>
        <w:t>标准</w:t>
      </w:r>
      <w:r>
        <w:rPr>
          <w:rFonts w:cs="Calibri"/>
          <w:highlight w:val="none"/>
        </w:rPr>
        <w:t>。</w:t>
      </w:r>
    </w:p>
    <w:p w14:paraId="3E65E74D">
      <w:pPr>
        <w:ind w:firstLine="480"/>
        <w:rPr>
          <w:highlight w:val="none"/>
        </w:rPr>
      </w:pPr>
      <w:r>
        <w:rPr>
          <w:rFonts w:hint="eastAsia"/>
          <w:highlight w:val="none"/>
        </w:rPr>
        <w:t>（</w:t>
      </w:r>
      <w:r>
        <w:rPr>
          <w:highlight w:val="none"/>
        </w:rPr>
        <w:t>2</w:t>
      </w:r>
      <w:r>
        <w:rPr>
          <w:rFonts w:hint="eastAsia"/>
          <w:highlight w:val="none"/>
        </w:rPr>
        <w:t>）污水管管材</w:t>
      </w:r>
    </w:p>
    <w:p w14:paraId="745844D7">
      <w:pPr>
        <w:ind w:firstLine="480"/>
        <w:rPr>
          <w:rFonts w:cs="Calibri"/>
          <w:highlight w:val="none"/>
        </w:rPr>
      </w:pPr>
      <w:r>
        <w:rPr>
          <w:rFonts w:hint="eastAsia"/>
          <w:highlight w:val="none"/>
        </w:rPr>
        <w:t>污水管重力管管材采用离心球墨铸铁管，管材执行《排水工程用球墨铸铁管、管件和附件》（GB/T26081-202</w:t>
      </w:r>
      <w:r>
        <w:rPr>
          <w:highlight w:val="none"/>
        </w:rPr>
        <w:t>2</w:t>
      </w:r>
      <w:r>
        <w:rPr>
          <w:rFonts w:hint="eastAsia"/>
          <w:highlight w:val="none"/>
        </w:rPr>
        <w:t>）标准。承插式连接，采用T形承插式胶圈接口，橡胶圈材质为丁腈橡胶（NBR），并满足GB/T21873-2008 的要求。</w:t>
      </w:r>
    </w:p>
    <w:p w14:paraId="666755A1">
      <w:pPr>
        <w:ind w:firstLine="480"/>
        <w:rPr>
          <w:sz w:val="22"/>
          <w:highlight w:val="none"/>
        </w:rPr>
      </w:pPr>
      <w:r>
        <w:rPr>
          <w:rFonts w:hint="eastAsia" w:cs="Calibri"/>
          <w:highlight w:val="none"/>
        </w:rPr>
        <w:t>管材防腐：管道内涂层采用高铝水泥砂浆，其中氧化铝含量大于50%，水泥砂浆内衬应符合</w:t>
      </w:r>
      <w:r>
        <w:rPr>
          <w:rFonts w:hint="eastAsia" w:cs="Calibri"/>
          <w:highlight w:val="yellow"/>
        </w:rPr>
        <w:t>GB/T17457</w:t>
      </w:r>
      <w:r>
        <w:rPr>
          <w:rFonts w:hint="eastAsia" w:cs="Calibri"/>
          <w:highlight w:val="yellow"/>
          <w:lang w:val="en-US" w:eastAsia="zh-CN"/>
        </w:rPr>
        <w:t>-2019</w:t>
      </w:r>
      <w:r>
        <w:rPr>
          <w:rFonts w:hint="eastAsia" w:cs="Calibri"/>
          <w:highlight w:val="none"/>
        </w:rPr>
        <w:t>。管道外涂层采用外表面带终饰层的喷锌涂料</w:t>
      </w:r>
      <w:r>
        <w:rPr>
          <w:rFonts w:hint="eastAsia" w:cs="Calibri"/>
          <w:highlight w:val="yellow"/>
        </w:rPr>
        <w:t>（GB/T17456.1</w:t>
      </w:r>
      <w:r>
        <w:rPr>
          <w:rFonts w:hint="eastAsia" w:cs="Calibri"/>
          <w:highlight w:val="yellow"/>
          <w:lang w:val="en-US" w:eastAsia="zh-CN"/>
        </w:rPr>
        <w:t>-2009</w:t>
      </w:r>
      <w:r>
        <w:rPr>
          <w:rFonts w:hint="eastAsia" w:cs="Calibri"/>
          <w:highlight w:val="yellow"/>
        </w:rPr>
        <w:t>）</w:t>
      </w:r>
      <w:r>
        <w:rPr>
          <w:rFonts w:hint="eastAsia" w:cs="Calibri"/>
          <w:highlight w:val="none"/>
        </w:rPr>
        <w:t>。详细做法</w:t>
      </w:r>
      <w:r>
        <w:rPr>
          <w:rFonts w:hint="eastAsia"/>
          <w:highlight w:val="none"/>
        </w:rPr>
        <w:t>执行穗河长办〔2020〕36号文件标准。</w:t>
      </w:r>
    </w:p>
    <w:p w14:paraId="254CE778">
      <w:pPr>
        <w:pStyle w:val="5"/>
        <w:numPr>
          <w:ilvl w:val="0"/>
          <w:numId w:val="0"/>
        </w:numPr>
        <w:ind w:left="482"/>
        <w:rPr>
          <w:color w:val="auto"/>
          <w:highlight w:val="none"/>
        </w:rPr>
      </w:pPr>
      <w:r>
        <w:rPr>
          <w:rFonts w:hint="eastAsia"/>
          <w:color w:val="auto"/>
          <w:highlight w:val="none"/>
        </w:rPr>
        <w:t>1</w:t>
      </w:r>
      <w:r>
        <w:rPr>
          <w:color w:val="auto"/>
          <w:highlight w:val="none"/>
        </w:rPr>
        <w:t>.1.</w:t>
      </w:r>
      <w:r>
        <w:rPr>
          <w:rFonts w:hint="eastAsia"/>
          <w:color w:val="auto"/>
          <w:highlight w:val="none"/>
        </w:rPr>
        <w:t>10</w:t>
      </w:r>
      <w:r>
        <w:rPr>
          <w:color w:val="auto"/>
          <w:highlight w:val="none"/>
        </w:rPr>
        <w:t>.2</w:t>
      </w:r>
      <w:r>
        <w:rPr>
          <w:rFonts w:hint="eastAsia"/>
          <w:color w:val="auto"/>
          <w:highlight w:val="none"/>
        </w:rPr>
        <w:t>管道附属构筑物选用如下：</w:t>
      </w:r>
    </w:p>
    <w:p w14:paraId="1258A23D">
      <w:pPr>
        <w:ind w:firstLine="480"/>
        <w:rPr>
          <w:highlight w:val="none"/>
        </w:rPr>
      </w:pPr>
      <w:r>
        <w:rPr>
          <w:rFonts w:hint="eastAsia"/>
          <w:highlight w:val="none"/>
        </w:rPr>
        <w:t>（</w:t>
      </w:r>
      <w:r>
        <w:rPr>
          <w:highlight w:val="none"/>
        </w:rPr>
        <w:t>1</w:t>
      </w:r>
      <w:r>
        <w:rPr>
          <w:rFonts w:hint="eastAsia"/>
          <w:highlight w:val="none"/>
        </w:rPr>
        <w:t>）检查井及井盖</w:t>
      </w:r>
    </w:p>
    <w:p w14:paraId="6D54C81D">
      <w:pPr>
        <w:ind w:firstLine="480"/>
        <w:rPr>
          <w:highlight w:val="none"/>
        </w:rPr>
      </w:pPr>
      <w:r>
        <w:rPr>
          <w:highlight w:val="none"/>
        </w:rPr>
        <w:t>1</w:t>
      </w:r>
      <w:r>
        <w:rPr>
          <w:rFonts w:hint="eastAsia"/>
          <w:highlight w:val="none"/>
        </w:rPr>
        <w:t>）检查井</w:t>
      </w:r>
    </w:p>
    <w:p w14:paraId="688DE516">
      <w:pPr>
        <w:pStyle w:val="63"/>
        <w:ind w:firstLine="480"/>
        <w:rPr>
          <w:highlight w:val="none"/>
        </w:rPr>
      </w:pPr>
      <w:r>
        <w:rPr>
          <w:rFonts w:hint="eastAsia" w:ascii="宋体" w:hAnsi="宋体"/>
          <w:highlight w:val="none"/>
        </w:rPr>
        <w:t>雨水检查采用钢筋混凝土雨水检查井，直径</w:t>
      </w:r>
      <w:r>
        <w:rPr>
          <w:rFonts w:hint="eastAsia"/>
          <w:highlight w:val="none"/>
        </w:rPr>
        <w:t>d</w:t>
      </w:r>
      <w:r>
        <w:rPr>
          <w:highlight w:val="none"/>
        </w:rPr>
        <w:t>800</w:t>
      </w:r>
      <w:r>
        <w:rPr>
          <w:rFonts w:hint="eastAsia" w:ascii="宋体" w:hAnsi="宋体"/>
          <w:highlight w:val="none"/>
        </w:rPr>
        <w:t>雨水主干管主要采用</w:t>
      </w:r>
      <w:r>
        <w:rPr>
          <w:highlight w:val="none"/>
        </w:rPr>
        <w:t>φ1</w:t>
      </w:r>
      <w:r>
        <w:rPr>
          <w:rFonts w:hint="eastAsia"/>
          <w:highlight w:val="none"/>
        </w:rPr>
        <w:t>25</w:t>
      </w:r>
      <w:r>
        <w:rPr>
          <w:highlight w:val="none"/>
        </w:rPr>
        <w:t>0</w:t>
      </w:r>
      <w:r>
        <w:rPr>
          <w:rFonts w:hint="eastAsia" w:ascii="宋体" w:hAnsi="宋体"/>
          <w:highlight w:val="none"/>
        </w:rPr>
        <w:t>雨水检查井，直径</w:t>
      </w:r>
      <w:r>
        <w:rPr>
          <w:rFonts w:hint="eastAsia"/>
          <w:highlight w:val="none"/>
        </w:rPr>
        <w:t>d10</w:t>
      </w:r>
      <w:r>
        <w:rPr>
          <w:highlight w:val="none"/>
        </w:rPr>
        <w:t>00</w:t>
      </w:r>
      <w:r>
        <w:rPr>
          <w:rFonts w:hint="eastAsia" w:ascii="宋体" w:hAnsi="宋体"/>
          <w:highlight w:val="none"/>
        </w:rPr>
        <w:t>雨水主干管主要采用</w:t>
      </w:r>
      <w:r>
        <w:rPr>
          <w:highlight w:val="none"/>
        </w:rPr>
        <w:t>φ1</w:t>
      </w:r>
      <w:r>
        <w:rPr>
          <w:rFonts w:hint="eastAsia"/>
          <w:highlight w:val="none"/>
        </w:rPr>
        <w:t>50</w:t>
      </w:r>
      <w:r>
        <w:rPr>
          <w:highlight w:val="none"/>
        </w:rPr>
        <w:t>0</w:t>
      </w:r>
      <w:r>
        <w:rPr>
          <w:rFonts w:hint="eastAsia" w:ascii="宋体" w:hAnsi="宋体"/>
          <w:highlight w:val="none"/>
        </w:rPr>
        <w:t>雨水检查井，具体详见图集（</w:t>
      </w:r>
      <w:r>
        <w:rPr>
          <w:highlight w:val="none"/>
        </w:rPr>
        <w:t>06MS201</w:t>
      </w:r>
      <w:r>
        <w:rPr>
          <w:rFonts w:hint="eastAsia" w:ascii="宋体" w:hAnsi="宋体"/>
          <w:highlight w:val="none"/>
        </w:rPr>
        <w:t>）；污水检查井均采用钢筋混凝土检查井，直径</w:t>
      </w:r>
      <w:r>
        <w:rPr>
          <w:highlight w:val="none"/>
        </w:rPr>
        <w:t>≤</w:t>
      </w:r>
      <w:r>
        <w:rPr>
          <w:rFonts w:hint="eastAsia"/>
          <w:highlight w:val="none"/>
        </w:rPr>
        <w:t>d</w:t>
      </w:r>
      <w:r>
        <w:rPr>
          <w:highlight w:val="none"/>
        </w:rPr>
        <w:t>600</w:t>
      </w:r>
      <w:r>
        <w:rPr>
          <w:rFonts w:hint="eastAsia" w:ascii="宋体" w:hAnsi="宋体"/>
          <w:highlight w:val="none"/>
        </w:rPr>
        <w:t>污水主干管主要采用</w:t>
      </w:r>
      <w:r>
        <w:rPr>
          <w:highlight w:val="none"/>
        </w:rPr>
        <w:t>φ1000</w:t>
      </w:r>
      <w:r>
        <w:rPr>
          <w:rFonts w:hint="eastAsia" w:ascii="宋体" w:hAnsi="宋体"/>
          <w:highlight w:val="none"/>
        </w:rPr>
        <w:t>污水检查井，具体详见图集（</w:t>
      </w:r>
      <w:r>
        <w:rPr>
          <w:highlight w:val="none"/>
        </w:rPr>
        <w:t>06MS201</w:t>
      </w:r>
      <w:r>
        <w:rPr>
          <w:rFonts w:hint="eastAsia" w:ascii="宋体" w:hAnsi="宋体"/>
          <w:highlight w:val="none"/>
        </w:rPr>
        <w:t>）。检查井内踏步均采用塑钢踏步（</w:t>
      </w:r>
      <w:r>
        <w:rPr>
          <w:highlight w:val="none"/>
        </w:rPr>
        <w:t>06MS201</w:t>
      </w:r>
      <w:r>
        <w:rPr>
          <w:rFonts w:hint="eastAsia" w:ascii="宋体" w:hAnsi="宋体"/>
          <w:highlight w:val="none"/>
        </w:rPr>
        <w:t>）。</w:t>
      </w:r>
    </w:p>
    <w:p w14:paraId="269A7434">
      <w:pPr>
        <w:ind w:firstLine="480"/>
        <w:rPr>
          <w:highlight w:val="none"/>
        </w:rPr>
      </w:pPr>
      <w:r>
        <w:rPr>
          <w:rFonts w:hint="eastAsia"/>
          <w:highlight w:val="none"/>
        </w:rPr>
        <w:t>检查井要求地基承载力特征值不小于</w:t>
      </w:r>
      <w:r>
        <w:rPr>
          <w:highlight w:val="none"/>
        </w:rPr>
        <w:t>100kPa</w:t>
      </w:r>
      <w:r>
        <w:rPr>
          <w:rFonts w:hint="eastAsia"/>
          <w:highlight w:val="none"/>
        </w:rPr>
        <w:t>。</w:t>
      </w:r>
    </w:p>
    <w:p w14:paraId="0E68C85C">
      <w:pPr>
        <w:ind w:firstLine="480"/>
        <w:rPr>
          <w:highlight w:val="none"/>
        </w:rPr>
      </w:pPr>
      <w:r>
        <w:rPr>
          <w:rFonts w:hint="eastAsia"/>
          <w:highlight w:val="none"/>
        </w:rPr>
        <w:t>检查井内均应设置防跌落装置。</w:t>
      </w:r>
    </w:p>
    <w:p w14:paraId="64DB2040">
      <w:pPr>
        <w:ind w:firstLine="480"/>
        <w:rPr>
          <w:highlight w:val="none"/>
        </w:rPr>
      </w:pPr>
      <w:r>
        <w:rPr>
          <w:highlight w:val="none"/>
        </w:rPr>
        <w:t>2</w:t>
      </w:r>
      <w:r>
        <w:rPr>
          <w:rFonts w:hint="eastAsia"/>
          <w:highlight w:val="none"/>
        </w:rPr>
        <w:t>）井盖</w:t>
      </w:r>
    </w:p>
    <w:p w14:paraId="4571253F">
      <w:pPr>
        <w:ind w:firstLine="480"/>
        <w:rPr>
          <w:highlight w:val="none"/>
        </w:rPr>
      </w:pPr>
      <w:r>
        <w:rPr>
          <w:rFonts w:hint="eastAsia"/>
          <w:highlight w:val="none"/>
        </w:rPr>
        <w:t>1）本次设计的检查井盖应有</w:t>
      </w:r>
      <w:r>
        <w:rPr>
          <w:highlight w:val="none"/>
        </w:rPr>
        <w:t>“</w:t>
      </w:r>
      <w:r>
        <w:rPr>
          <w:rFonts w:hint="eastAsia"/>
          <w:highlight w:val="none"/>
        </w:rPr>
        <w:t>雨、污</w:t>
      </w:r>
      <w:r>
        <w:rPr>
          <w:highlight w:val="none"/>
        </w:rPr>
        <w:t>”</w:t>
      </w:r>
      <w:r>
        <w:rPr>
          <w:rFonts w:hint="eastAsia"/>
          <w:highlight w:val="none"/>
        </w:rPr>
        <w:t>标志，并执行标准</w:t>
      </w:r>
      <w:r>
        <w:rPr>
          <w:highlight w:val="none"/>
        </w:rPr>
        <w:t>GB/T23858-2009</w:t>
      </w:r>
      <w:r>
        <w:rPr>
          <w:rFonts w:hint="eastAsia"/>
          <w:highlight w:val="none"/>
        </w:rPr>
        <w:t>。</w:t>
      </w:r>
    </w:p>
    <w:p w14:paraId="20AEAE3E">
      <w:pPr>
        <w:ind w:firstLine="480"/>
        <w:rPr>
          <w:highlight w:val="none"/>
        </w:rPr>
      </w:pPr>
      <w:r>
        <w:rPr>
          <w:highlight w:val="none"/>
        </w:rPr>
        <w:t>2</w:t>
      </w:r>
      <w:r>
        <w:rPr>
          <w:rFonts w:hint="eastAsia"/>
          <w:highlight w:val="none"/>
        </w:rPr>
        <w:t>）球墨铸铁检查井要求（新建道路采用）：井盖型号Φ</w:t>
      </w:r>
      <w:r>
        <w:rPr>
          <w:highlight w:val="none"/>
        </w:rPr>
        <w:t>700</w:t>
      </w:r>
      <w:r>
        <w:rPr>
          <w:rFonts w:hint="eastAsia"/>
          <w:highlight w:val="none"/>
        </w:rPr>
        <w:t>五防球墨铸铁井盖（五防是防响、防跳、防盗、防位移、防沉降），检查井井盖承载等级</w:t>
      </w:r>
      <w:r>
        <w:rPr>
          <w:highlight w:val="none"/>
        </w:rPr>
        <w:t>（KN）D400</w:t>
      </w:r>
      <w:r>
        <w:rPr>
          <w:rFonts w:hint="eastAsia"/>
          <w:highlight w:val="none"/>
        </w:rPr>
        <w:t>。</w:t>
      </w:r>
    </w:p>
    <w:p w14:paraId="685F3785">
      <w:pPr>
        <w:ind w:firstLine="480"/>
        <w:rPr>
          <w:highlight w:val="none"/>
        </w:rPr>
      </w:pPr>
      <w:r>
        <w:rPr>
          <w:highlight w:val="none"/>
        </w:rPr>
        <w:t>3</w:t>
      </w:r>
      <w:r>
        <w:rPr>
          <w:rFonts w:hint="eastAsia"/>
          <w:highlight w:val="none"/>
        </w:rPr>
        <w:t>）球墨铸铁雨水箅要求：井盖型号为</w:t>
      </w:r>
      <w:r>
        <w:rPr>
          <w:highlight w:val="none"/>
        </w:rPr>
        <w:t>500×700S</w:t>
      </w:r>
      <w:r>
        <w:rPr>
          <w:rFonts w:hint="eastAsia"/>
          <w:highlight w:val="none"/>
        </w:rPr>
        <w:t>型球墨铸铁井盖，井盖承载等级</w:t>
      </w:r>
      <w:r>
        <w:rPr>
          <w:highlight w:val="none"/>
        </w:rPr>
        <w:t>（KN）C250</w:t>
      </w:r>
      <w:r>
        <w:rPr>
          <w:rFonts w:hint="eastAsia"/>
          <w:highlight w:val="none"/>
        </w:rPr>
        <w:t>。</w:t>
      </w:r>
    </w:p>
    <w:p w14:paraId="27E1CF98">
      <w:pPr>
        <w:ind w:firstLine="480"/>
        <w:rPr>
          <w:highlight w:val="none"/>
        </w:rPr>
      </w:pPr>
      <w:r>
        <w:rPr>
          <w:highlight w:val="none"/>
        </w:rPr>
        <w:t>4</w:t>
      </w:r>
      <w:r>
        <w:rPr>
          <w:rFonts w:hint="eastAsia"/>
          <w:highlight w:val="none"/>
        </w:rPr>
        <w:t>）井盖上需标注以下信息：业主单位及电话、功能、承载等级</w:t>
      </w:r>
      <w:r>
        <w:rPr>
          <w:highlight w:val="none"/>
        </w:rPr>
        <w:t xml:space="preserve"> </w:t>
      </w:r>
      <w:r>
        <w:rPr>
          <w:rFonts w:hint="eastAsia"/>
          <w:highlight w:val="none"/>
        </w:rPr>
        <w:t>、生产年份、生产厂家名称或商标。</w:t>
      </w:r>
    </w:p>
    <w:p w14:paraId="1CE5D1BD">
      <w:pPr>
        <w:ind w:firstLine="480"/>
        <w:rPr>
          <w:highlight w:val="none"/>
        </w:rPr>
      </w:pPr>
      <w:r>
        <w:rPr>
          <w:rFonts w:hint="eastAsia"/>
          <w:highlight w:val="none"/>
        </w:rPr>
        <w:t>5)</w:t>
      </w:r>
      <w:r>
        <w:rPr>
          <w:rFonts w:hint="eastAsia" w:ascii="宋体" w:hAnsi="宋体"/>
          <w:smallCaps/>
          <w:highlight w:val="none"/>
        </w:rPr>
        <w:t xml:space="preserve"> 井盖设施制作质量还应符合广州市地方技术规范</w:t>
      </w:r>
      <w:r>
        <w:rPr>
          <w:rFonts w:hint="eastAsia" w:ascii="宋体" w:hAnsi="宋体"/>
          <w:smallCaps/>
          <w:highlight w:val="none"/>
          <w:lang w:eastAsia="zh-CN"/>
        </w:rPr>
        <w:t>《井盖设施技术规范》（DB4401T 215—2023）</w:t>
      </w:r>
      <w:r>
        <w:rPr>
          <w:rFonts w:hint="eastAsia" w:ascii="宋体" w:hAnsi="宋体"/>
          <w:smallCaps/>
          <w:highlight w:val="none"/>
        </w:rPr>
        <w:t>及其规范性图集要求。</w:t>
      </w:r>
    </w:p>
    <w:p w14:paraId="37ABF922">
      <w:pPr>
        <w:ind w:firstLine="480"/>
        <w:rPr>
          <w:highlight w:val="none"/>
        </w:rPr>
      </w:pPr>
      <w:r>
        <w:rPr>
          <w:rFonts w:hint="eastAsia"/>
          <w:highlight w:val="none"/>
        </w:rPr>
        <w:t>（</w:t>
      </w:r>
      <w:r>
        <w:rPr>
          <w:highlight w:val="none"/>
        </w:rPr>
        <w:t>2</w:t>
      </w:r>
      <w:r>
        <w:rPr>
          <w:rFonts w:hint="eastAsia"/>
          <w:highlight w:val="none"/>
        </w:rPr>
        <w:t>）雨水口</w:t>
      </w:r>
    </w:p>
    <w:p w14:paraId="5B814D0A">
      <w:pPr>
        <w:ind w:firstLine="480"/>
        <w:rPr>
          <w:highlight w:val="none"/>
        </w:rPr>
      </w:pPr>
      <w:r>
        <w:rPr>
          <w:rFonts w:hint="eastAsia"/>
          <w:highlight w:val="none"/>
        </w:rPr>
        <w:t>雨水口和雨水口连接管流量应为雨水管渠设计重现期计算流量的</w:t>
      </w:r>
      <w:r>
        <w:rPr>
          <w:highlight w:val="none"/>
        </w:rPr>
        <w:t>1.5~3</w:t>
      </w:r>
      <w:r>
        <w:rPr>
          <w:rFonts w:hint="eastAsia"/>
          <w:highlight w:val="none"/>
        </w:rPr>
        <w:t>倍。通过计算，雨水口间距约</w:t>
      </w:r>
      <w:r>
        <w:rPr>
          <w:highlight w:val="none"/>
        </w:rPr>
        <w:t>25~30m</w:t>
      </w:r>
      <w:r>
        <w:rPr>
          <w:rFonts w:hint="eastAsia"/>
          <w:highlight w:val="none"/>
        </w:rPr>
        <w:t>。雨水口连接管长度不超过</w:t>
      </w:r>
      <w:r>
        <w:rPr>
          <w:highlight w:val="none"/>
        </w:rPr>
        <w:t>25m</w:t>
      </w:r>
      <w:r>
        <w:rPr>
          <w:rFonts w:hint="eastAsia"/>
          <w:highlight w:val="none"/>
        </w:rPr>
        <w:t>。</w:t>
      </w:r>
    </w:p>
    <w:p w14:paraId="0A75619C">
      <w:pPr>
        <w:ind w:firstLine="480"/>
        <w:rPr>
          <w:highlight w:val="none"/>
        </w:rPr>
      </w:pPr>
      <w:r>
        <w:rPr>
          <w:rFonts w:hint="eastAsia"/>
          <w:highlight w:val="none"/>
        </w:rPr>
        <w:t>本项目采用</w:t>
      </w:r>
      <w:r>
        <w:rPr>
          <w:rFonts w:hint="eastAsia"/>
          <w:highlight w:val="none"/>
          <w:lang w:eastAsia="zh-CN"/>
        </w:rPr>
        <w:t>混凝土平入式</w:t>
      </w:r>
      <w:r>
        <w:rPr>
          <w:rFonts w:hint="eastAsia"/>
          <w:highlight w:val="none"/>
        </w:rPr>
        <w:t>双箅雨水口,做法见图集预制装配式钢筋混凝土雨水口标准图集（试行），P</w:t>
      </w:r>
      <w:r>
        <w:rPr>
          <w:rFonts w:hint="eastAsia"/>
          <w:highlight w:val="none"/>
          <w:lang w:val="en-US" w:eastAsia="zh-CN"/>
        </w:rPr>
        <w:t>9</w:t>
      </w:r>
      <w:r>
        <w:rPr>
          <w:rFonts w:hint="eastAsia"/>
          <w:highlight w:val="none"/>
        </w:rPr>
        <w:t>，连接管埋深按1m计取。雨水口箅子均采用五防球墨铸铁箅子。承载能力必须满足：裂缝荷载≥</w:t>
      </w:r>
      <w:r>
        <w:rPr>
          <w:highlight w:val="none"/>
        </w:rPr>
        <w:t>130KN</w:t>
      </w:r>
      <w:r>
        <w:rPr>
          <w:rFonts w:hint="eastAsia"/>
          <w:highlight w:val="none"/>
        </w:rPr>
        <w:t>、破坏荷载≥</w:t>
      </w:r>
      <w:r>
        <w:rPr>
          <w:highlight w:val="none"/>
        </w:rPr>
        <w:t>200KN</w:t>
      </w:r>
      <w:r>
        <w:rPr>
          <w:rFonts w:hint="eastAsia"/>
          <w:highlight w:val="none"/>
        </w:rPr>
        <w:t>，并符合相关行业标准的要求。雨水口箅子的过水断面须大于</w:t>
      </w:r>
      <w:r>
        <w:rPr>
          <w:highlight w:val="none"/>
        </w:rPr>
        <w:t>350cm2</w:t>
      </w:r>
      <w:r>
        <w:rPr>
          <w:rFonts w:hint="eastAsia"/>
          <w:highlight w:val="none"/>
        </w:rPr>
        <w:t>，泄水能力不小于</w:t>
      </w:r>
      <w:r>
        <w:rPr>
          <w:highlight w:val="none"/>
        </w:rPr>
        <w:t>35L/s</w:t>
      </w:r>
      <w:r>
        <w:rPr>
          <w:rFonts w:hint="eastAsia"/>
          <w:highlight w:val="none"/>
        </w:rPr>
        <w:t>。雨水横管管径</w:t>
      </w:r>
      <w:r>
        <w:rPr>
          <w:highlight w:val="none"/>
        </w:rPr>
        <w:t>DN300</w:t>
      </w:r>
      <w:r>
        <w:rPr>
          <w:rFonts w:hint="eastAsia"/>
          <w:highlight w:val="none"/>
        </w:rPr>
        <w:t>，采用Ⅱ级钢筋砼管，承插式连接，橡胶圈接口，采用</w:t>
      </w:r>
      <w:r>
        <w:rPr>
          <w:highlight w:val="none"/>
        </w:rPr>
        <w:t>120</w:t>
      </w:r>
      <w:r>
        <w:rPr>
          <w:rFonts w:hint="eastAsia"/>
          <w:highlight w:val="none"/>
        </w:rPr>
        <w:t>°带状混凝土基础。管材执行</w:t>
      </w:r>
      <w:r>
        <w:rPr>
          <w:rFonts w:hint="eastAsia"/>
          <w:highlight w:val="none"/>
          <w:lang w:eastAsia="zh-CN"/>
        </w:rPr>
        <w:t>《混凝土和钢筋混凝土排水管》（GB/T11836-2023）</w:t>
      </w:r>
      <w:r>
        <w:rPr>
          <w:rFonts w:hint="eastAsia"/>
          <w:highlight w:val="none"/>
        </w:rPr>
        <w:t>标准,坡度采用</w:t>
      </w:r>
      <w:r>
        <w:rPr>
          <w:highlight w:val="none"/>
        </w:rPr>
        <w:t>1%</w:t>
      </w:r>
      <w:r>
        <w:rPr>
          <w:rFonts w:hint="eastAsia"/>
          <w:highlight w:val="none"/>
        </w:rPr>
        <w:t>。</w:t>
      </w:r>
    </w:p>
    <w:p w14:paraId="542E6381">
      <w:pPr>
        <w:ind w:firstLine="480"/>
        <w:rPr>
          <w:highlight w:val="none"/>
        </w:rPr>
      </w:pPr>
      <w:r>
        <w:rPr>
          <w:rFonts w:hint="eastAsia"/>
          <w:highlight w:val="none"/>
        </w:rPr>
        <w:t>雨水口箅面必须比周围路面或地面低</w:t>
      </w:r>
      <w:r>
        <w:rPr>
          <w:highlight w:val="none"/>
        </w:rPr>
        <w:t>3~4cm</w:t>
      </w:r>
      <w:r>
        <w:rPr>
          <w:rFonts w:hint="eastAsia"/>
          <w:highlight w:val="none"/>
        </w:rPr>
        <w:t>。安装底座时须座浆，也可与沥青砼路面一起浇筑，并与路面或地面接顺，以利进水。安装箅子时，必须将底座上残余的水泥彻底清干净，以免底座与箅子被水泥粘牢，清淤时箅子打不开。</w:t>
      </w:r>
    </w:p>
    <w:p w14:paraId="12AC30CB">
      <w:pPr>
        <w:ind w:firstLine="480"/>
        <w:rPr>
          <w:highlight w:val="none"/>
        </w:rPr>
      </w:pPr>
      <w:r>
        <w:rPr>
          <w:rFonts w:hint="eastAsia"/>
          <w:highlight w:val="none"/>
        </w:rPr>
        <w:t>对于道路纵坡小于</w:t>
      </w:r>
      <w:r>
        <w:rPr>
          <w:highlight w:val="none"/>
        </w:rPr>
        <w:t>3</w:t>
      </w:r>
      <w:r>
        <w:rPr>
          <w:rFonts w:hint="eastAsia"/>
          <w:highlight w:val="none"/>
        </w:rPr>
        <w:t>‰的路段，可采用锯齿形边沟收集路面排水，参见道路专业设计。</w:t>
      </w:r>
    </w:p>
    <w:p w14:paraId="72D8A8EB">
      <w:pPr>
        <w:ind w:firstLine="480"/>
        <w:rPr>
          <w:highlight w:val="none"/>
        </w:rPr>
      </w:pPr>
      <w:r>
        <w:rPr>
          <w:rFonts w:hint="eastAsia"/>
          <w:highlight w:val="none"/>
        </w:rPr>
        <w:t>（3）防坠网和膨胀螺栓</w:t>
      </w:r>
    </w:p>
    <w:p w14:paraId="7CD54304">
      <w:pPr>
        <w:ind w:firstLine="480"/>
        <w:rPr>
          <w:highlight w:val="none"/>
        </w:rPr>
      </w:pPr>
      <w:r>
        <w:rPr>
          <w:rFonts w:hint="eastAsia"/>
          <w:highlight w:val="none"/>
        </w:rPr>
        <w:t>1）井盖防坠网材质：网体、边绳为高强度聚乙烯（</w:t>
      </w:r>
      <w:r>
        <w:rPr>
          <w:highlight w:val="none"/>
        </w:rPr>
        <w:t>HDPE</w:t>
      </w:r>
      <w:r>
        <w:rPr>
          <w:rFonts w:hint="eastAsia"/>
          <w:highlight w:val="none"/>
        </w:rPr>
        <w:t>）等类耐潮防腐材料。</w:t>
      </w:r>
    </w:p>
    <w:p w14:paraId="1C78F634">
      <w:pPr>
        <w:ind w:firstLine="480"/>
        <w:rPr>
          <w:highlight w:val="none"/>
        </w:rPr>
      </w:pPr>
      <w:r>
        <w:rPr>
          <w:highlight w:val="none"/>
        </w:rPr>
        <w:t>2</w:t>
      </w:r>
      <w:r>
        <w:rPr>
          <w:rFonts w:hint="eastAsia"/>
          <w:highlight w:val="none"/>
        </w:rPr>
        <w:t>）井盖防坠网设计规格及要求：产品应设计美观、使用方便、符合力学原理、具备质量标准、通过国家质检部门备案和检测。</w:t>
      </w:r>
    </w:p>
    <w:p w14:paraId="6789E535">
      <w:pPr>
        <w:ind w:firstLine="480"/>
        <w:rPr>
          <w:highlight w:val="none"/>
        </w:rPr>
      </w:pPr>
      <w:r>
        <w:rPr>
          <w:highlight w:val="none"/>
        </w:rPr>
        <w:t>3</w:t>
      </w:r>
      <w:r>
        <w:rPr>
          <w:rFonts w:hint="eastAsia"/>
          <w:highlight w:val="none"/>
        </w:rPr>
        <w:t>）主要技术指标：边绳拉力大于</w:t>
      </w:r>
      <w:r>
        <w:rPr>
          <w:highlight w:val="none"/>
        </w:rPr>
        <w:t>6000N</w:t>
      </w:r>
      <w:r>
        <w:rPr>
          <w:rFonts w:hint="eastAsia"/>
          <w:highlight w:val="none"/>
        </w:rPr>
        <w:t>，静态承重不低于</w:t>
      </w:r>
      <w:r>
        <w:rPr>
          <w:highlight w:val="none"/>
        </w:rPr>
        <w:t>300kg</w:t>
      </w:r>
      <w:r>
        <w:rPr>
          <w:rFonts w:hint="eastAsia"/>
          <w:highlight w:val="none"/>
        </w:rPr>
        <w:t>，网绳拉力大于</w:t>
      </w:r>
      <w:r>
        <w:rPr>
          <w:highlight w:val="none"/>
        </w:rPr>
        <w:t>2000N</w:t>
      </w:r>
      <w:r>
        <w:rPr>
          <w:rFonts w:hint="eastAsia"/>
          <w:highlight w:val="none"/>
        </w:rPr>
        <w:t>，铁环强度大于</w:t>
      </w:r>
      <w:r>
        <w:rPr>
          <w:highlight w:val="none"/>
        </w:rPr>
        <w:t>3000N</w:t>
      </w:r>
      <w:r>
        <w:rPr>
          <w:rFonts w:hint="eastAsia"/>
          <w:highlight w:val="none"/>
        </w:rPr>
        <w:t>。</w:t>
      </w:r>
    </w:p>
    <w:p w14:paraId="302B0490">
      <w:pPr>
        <w:ind w:firstLine="480"/>
        <w:rPr>
          <w:highlight w:val="none"/>
        </w:rPr>
      </w:pPr>
      <w:r>
        <w:rPr>
          <w:highlight w:val="none"/>
        </w:rPr>
        <w:t>4</w:t>
      </w:r>
      <w:r>
        <w:rPr>
          <w:rFonts w:hint="eastAsia"/>
          <w:highlight w:val="none"/>
        </w:rPr>
        <w:t>）井盖防坠网型号：Φ</w:t>
      </w:r>
      <w:r>
        <w:rPr>
          <w:highlight w:val="none"/>
        </w:rPr>
        <w:t>700</w:t>
      </w:r>
      <w:r>
        <w:rPr>
          <w:rFonts w:hint="eastAsia"/>
          <w:highlight w:val="none"/>
        </w:rPr>
        <w:t>规格，所有网绳由不小于</w:t>
      </w:r>
      <w:r>
        <w:rPr>
          <w:highlight w:val="none"/>
        </w:rPr>
        <w:t>3</w:t>
      </w:r>
      <w:r>
        <w:rPr>
          <w:rFonts w:hint="eastAsia"/>
          <w:highlight w:val="none"/>
        </w:rPr>
        <w:t>股单绳制成，网绳断裂强力≥</w:t>
      </w:r>
      <w:r>
        <w:rPr>
          <w:highlight w:val="none"/>
        </w:rPr>
        <w:t>2000N</w:t>
      </w:r>
      <w:r>
        <w:rPr>
          <w:rFonts w:hint="eastAsia"/>
          <w:highlight w:val="none"/>
        </w:rPr>
        <w:t>。</w:t>
      </w:r>
    </w:p>
    <w:p w14:paraId="7D5AC7C6">
      <w:pPr>
        <w:ind w:firstLine="480"/>
        <w:rPr>
          <w:highlight w:val="none"/>
        </w:rPr>
      </w:pPr>
      <w:r>
        <w:rPr>
          <w:highlight w:val="none"/>
        </w:rPr>
        <w:t>5</w:t>
      </w:r>
      <w:r>
        <w:rPr>
          <w:rFonts w:hint="eastAsia"/>
          <w:highlight w:val="none"/>
        </w:rPr>
        <w:t>）井盖防坠网吊挂或钩型膨胀螺栓（膨胀钩子、膨胀钩）产品要求：不锈钢膨胀螺栓材质为</w:t>
      </w:r>
      <w:r>
        <w:rPr>
          <w:highlight w:val="none"/>
        </w:rPr>
        <w:t>304</w:t>
      </w:r>
      <w:r>
        <w:rPr>
          <w:rFonts w:hint="eastAsia"/>
          <w:highlight w:val="none"/>
        </w:rPr>
        <w:t>不锈钢，螺杆直径</w:t>
      </w:r>
      <w:r>
        <w:rPr>
          <w:highlight w:val="none"/>
        </w:rPr>
        <w:t>8</w:t>
      </w:r>
      <w:r>
        <w:rPr>
          <w:rFonts w:hint="eastAsia"/>
          <w:highlight w:val="none"/>
        </w:rPr>
        <w:t>毫米，长度</w:t>
      </w:r>
      <w:r>
        <w:rPr>
          <w:highlight w:val="none"/>
        </w:rPr>
        <w:t>110</w:t>
      </w:r>
      <w:r>
        <w:rPr>
          <w:rFonts w:hint="eastAsia"/>
          <w:highlight w:val="none"/>
        </w:rPr>
        <w:t>毫米。</w:t>
      </w:r>
    </w:p>
    <w:p w14:paraId="1EAEF15D">
      <w:pPr>
        <w:ind w:firstLine="480"/>
        <w:rPr>
          <w:highlight w:val="none"/>
        </w:rPr>
      </w:pPr>
      <w:r>
        <w:rPr>
          <w:highlight w:val="none"/>
        </w:rPr>
        <w:t>6</w:t>
      </w:r>
      <w:r>
        <w:rPr>
          <w:rFonts w:hint="eastAsia"/>
          <w:highlight w:val="none"/>
        </w:rPr>
        <w:t>）井盖防坠网施工要求：在井筒壁确定膨胀螺栓孔位</w:t>
      </w:r>
      <w:r>
        <w:rPr>
          <w:highlight w:val="none"/>
        </w:rPr>
        <w:t>6</w:t>
      </w:r>
      <w:r>
        <w:rPr>
          <w:rFonts w:hint="eastAsia"/>
          <w:highlight w:val="none"/>
        </w:rPr>
        <w:t>个，沿圆周大致均分，基本水平，钻孔至适合膨胀螺栓的长度；清孔、插入膨胀螺栓，钩向上，拧紧固定，挂窨井防护网，防坠网安装合格测试：用</w:t>
      </w:r>
      <w:r>
        <w:rPr>
          <w:highlight w:val="none"/>
        </w:rPr>
        <w:t>150</w:t>
      </w:r>
      <w:r>
        <w:rPr>
          <w:rFonts w:hint="eastAsia"/>
          <w:highlight w:val="none"/>
        </w:rPr>
        <w:t>千克重物置于网中</w:t>
      </w:r>
      <w:r>
        <w:rPr>
          <w:highlight w:val="none"/>
        </w:rPr>
        <w:t>2~3</w:t>
      </w:r>
      <w:r>
        <w:rPr>
          <w:rFonts w:hint="eastAsia"/>
          <w:highlight w:val="none"/>
        </w:rPr>
        <w:t>分钟后取出。检查井筒壁、膨胀螺栓和窨井防护网。要求井筒壁无破损，膨胀螺栓不松不折，防护网无破裂。</w:t>
      </w:r>
    </w:p>
    <w:p w14:paraId="386E4F22">
      <w:pPr>
        <w:pStyle w:val="4"/>
        <w:spacing w:before="163" w:after="163"/>
        <w:ind w:firstLine="560"/>
        <w:rPr>
          <w:color w:val="auto"/>
          <w:highlight w:val="none"/>
        </w:rPr>
      </w:pPr>
      <w:bookmarkStart w:id="19" w:name="_Toc13751"/>
      <w:r>
        <w:rPr>
          <w:rFonts w:hint="eastAsia"/>
          <w:color w:val="auto"/>
          <w:highlight w:val="none"/>
        </w:rPr>
        <w:t>管道安装要求</w:t>
      </w:r>
      <w:bookmarkEnd w:id="19"/>
    </w:p>
    <w:p w14:paraId="7ADE96BA">
      <w:pPr>
        <w:ind w:firstLine="480"/>
        <w:rPr>
          <w:highlight w:val="none"/>
        </w:rPr>
      </w:pPr>
      <w:r>
        <w:rPr>
          <w:rFonts w:hint="eastAsia"/>
          <w:highlight w:val="none"/>
        </w:rPr>
        <w:t>（1）管道安装注意事项</w:t>
      </w:r>
    </w:p>
    <w:p w14:paraId="4849536F">
      <w:pPr>
        <w:ind w:firstLine="480"/>
        <w:rPr>
          <w:highlight w:val="none"/>
        </w:rPr>
      </w:pPr>
      <w:r>
        <w:rPr>
          <w:rFonts w:hint="eastAsia"/>
          <w:highlight w:val="none"/>
        </w:rPr>
        <w:t>①管道安装时宜自下游开始，承口朝向施工前进的方向，插口插入的方向应与水流方向一致。</w:t>
      </w:r>
    </w:p>
    <w:p w14:paraId="40129886">
      <w:pPr>
        <w:ind w:firstLine="480"/>
        <w:rPr>
          <w:highlight w:val="none"/>
        </w:rPr>
      </w:pPr>
      <w:r>
        <w:rPr>
          <w:rFonts w:hint="eastAsia"/>
          <w:highlight w:val="none"/>
        </w:rPr>
        <w:t>②管及管件应采用兜身吊带或专用工具起吊，装卸时应轻装轻放，运输时应垫稳、绑牢，不得相互撞击；接口、钢环及内衬层应采取保护措施。</w:t>
      </w:r>
    </w:p>
    <w:p w14:paraId="2472264C">
      <w:pPr>
        <w:ind w:firstLine="480"/>
        <w:rPr>
          <w:highlight w:val="none"/>
        </w:rPr>
      </w:pPr>
      <w:r>
        <w:rPr>
          <w:rFonts w:hint="eastAsia"/>
          <w:highlight w:val="none"/>
        </w:rPr>
        <w:t>③安装时，管口和橡胶圈应清理干净，套在插口上的胶圈应平直、无扭曲，安装后的胶圈应均匀滚动到位。</w:t>
      </w:r>
    </w:p>
    <w:p w14:paraId="4A33EE60">
      <w:pPr>
        <w:ind w:firstLine="480"/>
        <w:rPr>
          <w:highlight w:val="none"/>
        </w:rPr>
      </w:pPr>
      <w:r>
        <w:rPr>
          <w:rFonts w:hint="eastAsia"/>
          <w:highlight w:val="none"/>
        </w:rPr>
        <w:t>④管子插入时要平行沟槽吊起，以便插口胶圈准确地对入承口内，吊起时稍离槽底即可。</w:t>
      </w:r>
    </w:p>
    <w:p w14:paraId="454CBEA1">
      <w:pPr>
        <w:ind w:firstLine="480"/>
        <w:rPr>
          <w:highlight w:val="none"/>
        </w:rPr>
      </w:pPr>
      <w:r>
        <w:rPr>
          <w:rFonts w:hint="eastAsia"/>
          <w:highlight w:val="none"/>
        </w:rPr>
        <w:t>⑤安装接口时，顶、拉速度应缓慢，随时检查胶圈滚入是否均匀，如不均匀，可用錾子调整均匀后，再继续顶、拉，使胶圈均匀进入承口。</w:t>
      </w:r>
    </w:p>
    <w:p w14:paraId="2C39F397">
      <w:pPr>
        <w:ind w:firstLine="480"/>
        <w:rPr>
          <w:highlight w:val="none"/>
        </w:rPr>
      </w:pPr>
      <w:r>
        <w:rPr>
          <w:rFonts w:hint="eastAsia"/>
          <w:highlight w:val="none"/>
        </w:rPr>
        <w:t>⑥安装后的管底部应与基础均匀接触，防止产生应力集中现象。</w:t>
      </w:r>
    </w:p>
    <w:p w14:paraId="4642BE2C">
      <w:pPr>
        <w:ind w:firstLine="480"/>
        <w:rPr>
          <w:rFonts w:hint="eastAsia"/>
          <w:highlight w:val="yellow"/>
        </w:rPr>
      </w:pPr>
      <w:r>
        <w:rPr>
          <w:rFonts w:hint="eastAsia"/>
          <w:highlight w:val="none"/>
        </w:rPr>
        <w:t>⑦</w:t>
      </w:r>
      <w:r>
        <w:rPr>
          <w:rFonts w:hint="eastAsia"/>
          <w:highlight w:val="yellow"/>
        </w:rPr>
        <w:t>雨污水管道均需进行闭水试验，污水管道需进行CCTV检测。</w:t>
      </w:r>
    </w:p>
    <w:p w14:paraId="66BA967B">
      <w:pPr>
        <w:ind w:firstLine="480"/>
        <w:rPr>
          <w:rFonts w:hint="eastAsia"/>
          <w:highlight w:val="yellow"/>
          <w:lang w:val="en-US" w:eastAsia="zh-CN"/>
        </w:rPr>
      </w:pPr>
      <w:r>
        <w:rPr>
          <w:rFonts w:hint="eastAsia"/>
          <w:highlight w:val="yellow"/>
          <w:lang w:val="en-US" w:eastAsia="zh-CN"/>
        </w:rPr>
        <w:t>检测要求如下：</w:t>
      </w:r>
    </w:p>
    <w:p w14:paraId="3D67F089">
      <w:pPr>
        <w:ind w:firstLine="480"/>
        <w:rPr>
          <w:rFonts w:hint="default" w:eastAsia="宋体"/>
          <w:highlight w:val="none"/>
          <w:lang w:val="en-US" w:eastAsia="zh-CN"/>
        </w:rPr>
      </w:pPr>
      <w:r>
        <w:rPr>
          <w:rFonts w:hint="eastAsia"/>
          <w:highlight w:val="yellow"/>
          <w:lang w:val="en-US" w:eastAsia="zh-CN"/>
        </w:rPr>
        <w:t>根据《关于增加污水管道CCTV验收要求说明的通知》（穗污治【2008】19号），本工程污水管道验收前须进行CCTV专项检测，检测方法按《城镇排水管道检测与评估技术规程》(CJJ 181-2012)、《给水排水管道工程施工及验收规范》(GB 50268-2008)等现行规程规范要求进行。</w:t>
      </w:r>
    </w:p>
    <w:p w14:paraId="0986816B">
      <w:pPr>
        <w:pStyle w:val="4"/>
        <w:spacing w:before="163" w:after="163"/>
        <w:ind w:firstLine="560"/>
        <w:rPr>
          <w:color w:val="auto"/>
          <w:highlight w:val="none"/>
        </w:rPr>
      </w:pPr>
      <w:bookmarkStart w:id="20" w:name="_Toc13852"/>
      <w:r>
        <w:rPr>
          <w:rFonts w:hint="eastAsia"/>
          <w:color w:val="auto"/>
          <w:highlight w:val="none"/>
        </w:rPr>
        <w:t>工程施工</w:t>
      </w:r>
      <w:bookmarkEnd w:id="20"/>
    </w:p>
    <w:p w14:paraId="081F9AC6">
      <w:pPr>
        <w:ind w:firstLine="480"/>
        <w:rPr>
          <w:highlight w:val="none"/>
        </w:rPr>
      </w:pPr>
      <w:r>
        <w:rPr>
          <w:rFonts w:hint="eastAsia"/>
          <w:highlight w:val="none"/>
        </w:rPr>
        <w:t>（1）施工组织</w:t>
      </w:r>
    </w:p>
    <w:p w14:paraId="3F815A8C">
      <w:pPr>
        <w:ind w:firstLine="480"/>
        <w:rPr>
          <w:highlight w:val="none"/>
        </w:rPr>
      </w:pPr>
      <w:r>
        <w:rPr>
          <w:rFonts w:hint="eastAsia"/>
          <w:highlight w:val="none"/>
        </w:rPr>
        <w:t>工程建设应坚持先地下后地上的施工原则，避免由于反复刨槽带来的经济损失。施工单位应根据设计图纸制定完整的施工方案，特别是对开槽断面、节点处理、支管的连接、管材与附件的备料等作出周密的安排，保证各种管道的顺利铺设。</w:t>
      </w:r>
    </w:p>
    <w:p w14:paraId="607B84AC">
      <w:pPr>
        <w:ind w:firstLine="480"/>
        <w:rPr>
          <w:highlight w:val="none"/>
        </w:rPr>
      </w:pPr>
      <w:r>
        <w:rPr>
          <w:rFonts w:hint="eastAsia"/>
          <w:highlight w:val="none"/>
        </w:rPr>
        <w:t>（2）管道施工</w:t>
      </w:r>
    </w:p>
    <w:p w14:paraId="7D9DB630">
      <w:pPr>
        <w:ind w:firstLine="480"/>
        <w:rPr>
          <w:highlight w:val="none"/>
        </w:rPr>
      </w:pPr>
      <w:r>
        <w:rPr>
          <w:rFonts w:hint="eastAsia"/>
          <w:highlight w:val="none"/>
        </w:rPr>
        <w:t>本工程排水管道埋深小于</w:t>
      </w:r>
      <w:r>
        <w:rPr>
          <w:highlight w:val="none"/>
        </w:rPr>
        <w:t>3</w:t>
      </w:r>
      <w:r>
        <w:rPr>
          <w:rFonts w:hint="eastAsia"/>
          <w:highlight w:val="none"/>
        </w:rPr>
        <w:t>米采用放坡开挖，大于</w:t>
      </w:r>
      <w:r>
        <w:rPr>
          <w:highlight w:val="none"/>
        </w:rPr>
        <w:t>3</w:t>
      </w:r>
      <w:r>
        <w:rPr>
          <w:rFonts w:hint="eastAsia"/>
          <w:highlight w:val="none"/>
        </w:rPr>
        <w:t>米采用钢板桩支护开挖，放坡系数按相关规范执行，具体详见“雨水管道纵断面设计图”、“污水管道纵断面设计图”。</w:t>
      </w:r>
    </w:p>
    <w:p w14:paraId="26634B5F">
      <w:pPr>
        <w:ind w:firstLine="480"/>
        <w:rPr>
          <w:highlight w:val="none"/>
        </w:rPr>
      </w:pPr>
      <w:r>
        <w:rPr>
          <w:rFonts w:hint="eastAsia"/>
          <w:highlight w:val="none"/>
        </w:rPr>
        <w:t>（3）沟槽开挖</w:t>
      </w:r>
    </w:p>
    <w:p w14:paraId="4A4F3FC5">
      <w:pPr>
        <w:ind w:firstLine="480"/>
        <w:rPr>
          <w:highlight w:val="none"/>
        </w:rPr>
      </w:pPr>
      <w:r>
        <w:rPr>
          <w:rFonts w:hint="eastAsia"/>
          <w:highlight w:val="none"/>
        </w:rPr>
        <w:t>1）沟槽开挖前，应弄清开挖点的地形、地质和地下水位等资料，明了开挖深度对周围环境和现状地下管线等的相互关系，以便考虑开挖基槽出现问题时的应急措施。</w:t>
      </w:r>
    </w:p>
    <w:p w14:paraId="5D4E549D">
      <w:pPr>
        <w:ind w:firstLine="480"/>
        <w:rPr>
          <w:highlight w:val="none"/>
        </w:rPr>
      </w:pPr>
      <w:r>
        <w:rPr>
          <w:rFonts w:hint="eastAsia"/>
          <w:highlight w:val="none"/>
        </w:rPr>
        <w:t>2）新建管道与已建管道连接时，必须先核查已建管道接口高程及平面位置后方可开挖敷设。</w:t>
      </w:r>
    </w:p>
    <w:p w14:paraId="2110E207">
      <w:pPr>
        <w:ind w:firstLine="480"/>
        <w:rPr>
          <w:highlight w:val="none"/>
        </w:rPr>
      </w:pPr>
      <w:r>
        <w:rPr>
          <w:rFonts w:hint="eastAsia"/>
          <w:highlight w:val="none"/>
        </w:rPr>
        <w:t>3）沟槽开挖应严格按照规范要求开挖边坡坡率开挖，如遇不良地质，应及时与设计人员联系，重新确定开挖方案。</w:t>
      </w:r>
    </w:p>
    <w:p w14:paraId="1FBBFBF7">
      <w:pPr>
        <w:ind w:firstLine="480"/>
        <w:rPr>
          <w:highlight w:val="none"/>
        </w:rPr>
      </w:pPr>
      <w:r>
        <w:rPr>
          <w:rFonts w:hint="eastAsia"/>
          <w:highlight w:val="none"/>
        </w:rPr>
        <w:t>4）沟槽开挖时应做好降水措施。当土质较好，可采用明沟或集水井排水。</w:t>
      </w:r>
    </w:p>
    <w:p w14:paraId="09BDE8E8">
      <w:pPr>
        <w:ind w:firstLine="480"/>
        <w:rPr>
          <w:highlight w:val="none"/>
        </w:rPr>
      </w:pPr>
      <w:r>
        <w:rPr>
          <w:rFonts w:hint="eastAsia"/>
          <w:highlight w:val="none"/>
        </w:rPr>
        <w:t>5）沟槽周围应做好截流措施排引地面水，防止地面雨水倒流，回渗到沟槽内。</w:t>
      </w:r>
    </w:p>
    <w:p w14:paraId="559CCC45">
      <w:pPr>
        <w:ind w:firstLine="480"/>
        <w:rPr>
          <w:highlight w:val="none"/>
        </w:rPr>
      </w:pPr>
      <w:r>
        <w:rPr>
          <w:rFonts w:hint="eastAsia"/>
          <w:highlight w:val="none"/>
        </w:rPr>
        <w:t>6）沟槽每侧临时堆土应适当远离沟槽，尽量减少地面堆荷对沟槽的破坏。人工挖槽时，堆土高度不宜超过1.5m，且距槽口边缘不宜小于0.8m。</w:t>
      </w:r>
    </w:p>
    <w:p w14:paraId="7B55518C">
      <w:pPr>
        <w:ind w:firstLine="480"/>
        <w:rPr>
          <w:highlight w:val="none"/>
        </w:rPr>
      </w:pPr>
      <w:r>
        <w:rPr>
          <w:rFonts w:hint="eastAsia"/>
          <w:highlight w:val="none"/>
        </w:rPr>
        <w:t>7）采用机械开挖时，应保留基底设计标高以上20～30cm的原状土，待铺管前用人工开挖至设计标高，以免扰动下面土层。基底不得超挖，若超挖应用10～15mm天然级配砂或5～40mm的碎石，整平夯实。槽底高程允许偏差：开挖土方时应为±20mm，开挖石方时应为+20mm、-200mm。</w:t>
      </w:r>
    </w:p>
    <w:p w14:paraId="132669F0">
      <w:pPr>
        <w:ind w:firstLine="480"/>
        <w:rPr>
          <w:highlight w:val="none"/>
        </w:rPr>
      </w:pPr>
      <w:r>
        <w:rPr>
          <w:rFonts w:hint="eastAsia"/>
          <w:highlight w:val="none"/>
        </w:rPr>
        <w:t>8）沟槽开挖好后，应及时进行管道基础施工，防止雨水浸泡。一旦浸泡，应排干水后，铲除浮泥，再进行管道基础施工。</w:t>
      </w:r>
    </w:p>
    <w:p w14:paraId="43BADC40">
      <w:pPr>
        <w:ind w:firstLine="480"/>
        <w:rPr>
          <w:highlight w:val="none"/>
        </w:rPr>
      </w:pPr>
      <w:r>
        <w:rPr>
          <w:rFonts w:hint="eastAsia"/>
          <w:highlight w:val="none"/>
        </w:rPr>
        <w:t>9）基坑开挖至基底，应组织相关单位进行验槽。</w:t>
      </w:r>
    </w:p>
    <w:p w14:paraId="72A068B3">
      <w:pPr>
        <w:ind w:firstLine="480"/>
        <w:rPr>
          <w:highlight w:val="none"/>
        </w:rPr>
      </w:pPr>
      <w:r>
        <w:rPr>
          <w:rFonts w:hint="eastAsia"/>
          <w:highlight w:val="none"/>
        </w:rPr>
        <w:t>（4）沟槽排水</w:t>
      </w:r>
    </w:p>
    <w:p w14:paraId="0EDD98FC">
      <w:pPr>
        <w:ind w:firstLine="480"/>
        <w:rPr>
          <w:highlight w:val="none"/>
        </w:rPr>
      </w:pPr>
      <w:r>
        <w:rPr>
          <w:rFonts w:hint="eastAsia"/>
          <w:highlight w:val="none"/>
        </w:rPr>
        <w:t>管道沟槽排水采用水窝子加排水沟的排水方法，如遇特殊情况可采用大口井降水，将地下水位降至槽底下0.5m左右，方可进行管道铺设等工序。如距坑塘较近部位排水不利，可视现场情况打水泥搅拌桩阻隔地下水。</w:t>
      </w:r>
    </w:p>
    <w:p w14:paraId="6642BC0F">
      <w:pPr>
        <w:ind w:firstLine="480"/>
        <w:rPr>
          <w:highlight w:val="none"/>
        </w:rPr>
      </w:pPr>
      <w:r>
        <w:rPr>
          <w:rFonts w:hint="eastAsia"/>
          <w:highlight w:val="none"/>
        </w:rPr>
        <w:t>（5）管道基础及特殊土层处理</w:t>
      </w:r>
    </w:p>
    <w:p w14:paraId="2935745A">
      <w:pPr>
        <w:ind w:firstLine="480"/>
        <w:rPr>
          <w:highlight w:val="none"/>
        </w:rPr>
      </w:pPr>
      <w:r>
        <w:rPr>
          <w:rFonts w:hint="eastAsia"/>
          <w:highlight w:val="none"/>
        </w:rPr>
        <w:t>1）管道基础</w:t>
      </w:r>
    </w:p>
    <w:p w14:paraId="02BD5F90">
      <w:pPr>
        <w:ind w:firstLine="480"/>
        <w:rPr>
          <w:highlight w:val="none"/>
        </w:rPr>
      </w:pPr>
      <w:r>
        <w:rPr>
          <w:rFonts w:hint="eastAsia"/>
          <w:highlight w:val="none"/>
        </w:rPr>
        <w:t>本工程污水管管道基础采用砂石基础。</w:t>
      </w:r>
    </w:p>
    <w:p w14:paraId="3607DA00">
      <w:pPr>
        <w:ind w:firstLine="480"/>
        <w:rPr>
          <w:highlight w:val="none"/>
        </w:rPr>
      </w:pPr>
      <w:r>
        <w:rPr>
          <w:rFonts w:hint="eastAsia"/>
          <w:highlight w:val="none"/>
        </w:rPr>
        <w:t>2）管道基础下特殊土层的处理</w:t>
      </w:r>
    </w:p>
    <w:p w14:paraId="6642FECD">
      <w:pPr>
        <w:ind w:firstLine="480"/>
        <w:rPr>
          <w:highlight w:val="none"/>
        </w:rPr>
      </w:pPr>
      <w:r>
        <w:rPr>
          <w:rFonts w:hint="eastAsia"/>
          <w:highlight w:val="none"/>
        </w:rPr>
        <w:t>本次设计道路已对路基进行处理，如若管道遇到淤泥可按对其1m中粗砂进行置换处理。</w:t>
      </w:r>
    </w:p>
    <w:p w14:paraId="3335F649">
      <w:pPr>
        <w:ind w:firstLine="480"/>
        <w:rPr>
          <w:highlight w:val="none"/>
        </w:rPr>
      </w:pPr>
      <w:r>
        <w:rPr>
          <w:rFonts w:hint="eastAsia"/>
          <w:highlight w:val="none"/>
        </w:rPr>
        <w:t>本工程排水管道地基承载力不小于100KPa。</w:t>
      </w:r>
    </w:p>
    <w:p w14:paraId="38361301">
      <w:pPr>
        <w:ind w:firstLine="480"/>
        <w:rPr>
          <w:highlight w:val="none"/>
        </w:rPr>
      </w:pPr>
      <w:r>
        <w:rPr>
          <w:rFonts w:hint="eastAsia"/>
          <w:highlight w:val="none"/>
        </w:rPr>
        <w:t>3）沟槽回填及密实度要求</w:t>
      </w:r>
    </w:p>
    <w:p w14:paraId="0D83E7F4">
      <w:pPr>
        <w:ind w:firstLine="480"/>
        <w:rPr>
          <w:highlight w:val="none"/>
        </w:rPr>
      </w:pPr>
      <w:r>
        <w:rPr>
          <w:rFonts w:hint="eastAsia"/>
          <w:highlight w:val="none"/>
        </w:rPr>
        <w:t>管道敷设后应立即进行沟槽回填；从管底基础至管顶0.5m范围内，沿管道、检查井两侧必须采用人工对称、分层回填，回填石屑并压实（每层回填高度不大于0.2m），严禁用机械推土回填。管两侧分层压实可采取临时限位措施，防止管道上浮；管顶0.5m以上沟槽采用机械回填时，应从管轴线两侧同时均匀进行，做到分层回填、夯实、碾压，压实度须满足道路路基要求。</w:t>
      </w:r>
    </w:p>
    <w:p w14:paraId="18664646">
      <w:pPr>
        <w:pStyle w:val="4"/>
        <w:spacing w:before="163" w:after="163"/>
        <w:ind w:firstLine="560"/>
        <w:rPr>
          <w:color w:val="auto"/>
          <w:highlight w:val="none"/>
        </w:rPr>
      </w:pPr>
      <w:bookmarkStart w:id="21" w:name="_Toc8988"/>
      <w:r>
        <w:rPr>
          <w:rFonts w:hint="eastAsia"/>
          <w:color w:val="auto"/>
          <w:highlight w:val="none"/>
        </w:rPr>
        <w:t>施工注意事项</w:t>
      </w:r>
      <w:bookmarkEnd w:id="21"/>
    </w:p>
    <w:p w14:paraId="26A29B9C">
      <w:pPr>
        <w:ind w:firstLine="480"/>
        <w:rPr>
          <w:highlight w:val="none"/>
        </w:rPr>
      </w:pPr>
      <w:r>
        <w:rPr>
          <w:rFonts w:hint="eastAsia"/>
          <w:highlight w:val="none"/>
        </w:rPr>
        <w:t>（1）项目实施前，须复测地下管线及排出口标高，若与图纸不符，应及时通知设计单位。</w:t>
      </w:r>
    </w:p>
    <w:p w14:paraId="473881A5">
      <w:pPr>
        <w:ind w:firstLine="480"/>
        <w:rPr>
          <w:highlight w:val="none"/>
        </w:rPr>
      </w:pPr>
      <w:r>
        <w:rPr>
          <w:rFonts w:hint="eastAsia"/>
          <w:highlight w:val="none"/>
        </w:rPr>
        <w:t>（2）检查井内均应设置防跌落装置，装置承重能力不应小于200kg。</w:t>
      </w:r>
    </w:p>
    <w:p w14:paraId="5DD265D7">
      <w:pPr>
        <w:ind w:firstLine="480"/>
        <w:rPr>
          <w:highlight w:val="none"/>
        </w:rPr>
      </w:pPr>
      <w:r>
        <w:rPr>
          <w:rFonts w:hint="eastAsia"/>
          <w:highlight w:val="none"/>
        </w:rPr>
        <w:t>（3）管道埋深较大，遇有软基或保护现状建（构）筑物时，须采用相应的支护措施进行开挖。</w:t>
      </w:r>
    </w:p>
    <w:p w14:paraId="6B99CD35">
      <w:pPr>
        <w:ind w:firstLine="480"/>
        <w:rPr>
          <w:highlight w:val="none"/>
        </w:rPr>
      </w:pPr>
      <w:r>
        <w:rPr>
          <w:rFonts w:hint="eastAsia"/>
          <w:highlight w:val="none"/>
        </w:rPr>
        <w:t>（4）使</w:t>
      </w:r>
      <w:r>
        <w:rPr>
          <w:rFonts w:hint="eastAsia" w:ascii="Times New Roman" w:hAnsi="Times New Roman"/>
          <w:highlight w:val="none"/>
        </w:rPr>
        <w:t>用国标图集大样图时，钢筋HPB235改为HPB300，HRB335改为HRB400；水泥砂浆标号M7.5改为M10，</w:t>
      </w:r>
      <w:r>
        <w:rPr>
          <w:rFonts w:hint="eastAsia" w:ascii="Times New Roman" w:hAnsi="Times New Roman"/>
          <w:highlight w:val="yellow"/>
        </w:rPr>
        <w:t>砼标号C10改为C</w:t>
      </w:r>
      <w:r>
        <w:rPr>
          <w:rFonts w:hint="eastAsia" w:ascii="Times New Roman" w:hAnsi="Times New Roman"/>
          <w:highlight w:val="yellow"/>
          <w:lang w:val="en-US" w:eastAsia="zh-CN"/>
        </w:rPr>
        <w:t>20</w:t>
      </w:r>
      <w:r>
        <w:rPr>
          <w:rFonts w:hint="eastAsia" w:ascii="Times New Roman" w:hAnsi="Times New Roman"/>
          <w:highlight w:val="none"/>
          <w:lang w:val="en-US" w:eastAsia="zh-CN"/>
        </w:rPr>
        <w:t>，钢筋混凝土结构构件的混凝土强度等级不应低于</w:t>
      </w:r>
      <w:r>
        <w:rPr>
          <w:rFonts w:hint="eastAsia" w:ascii="Times New Roman" w:hAnsi="Times New Roman"/>
          <w:highlight w:val="yellow"/>
          <w:lang w:val="en-US" w:eastAsia="zh-CN"/>
        </w:rPr>
        <w:t>C25</w:t>
      </w:r>
      <w:r>
        <w:rPr>
          <w:rFonts w:hint="eastAsia" w:ascii="Times New Roman" w:hAnsi="Times New Roman"/>
          <w:highlight w:val="none"/>
          <w:lang w:val="en-US" w:eastAsia="zh-CN"/>
        </w:rPr>
        <w:t>或见结构相关大样图</w:t>
      </w:r>
      <w:r>
        <w:rPr>
          <w:rFonts w:hint="eastAsia" w:ascii="Times New Roman" w:hAnsi="Times New Roman"/>
          <w:highlight w:val="none"/>
        </w:rPr>
        <w:t>。</w:t>
      </w:r>
    </w:p>
    <w:p w14:paraId="06625DDF">
      <w:pPr>
        <w:ind w:firstLine="480"/>
        <w:rPr>
          <w:highlight w:val="none"/>
        </w:rPr>
      </w:pPr>
      <w:r>
        <w:rPr>
          <w:rFonts w:hint="eastAsia"/>
          <w:highlight w:val="none"/>
        </w:rPr>
        <w:t>（5）排水管道施工前应排除各类明水，并确保明水排除三天以上，方可开槽施工。</w:t>
      </w:r>
    </w:p>
    <w:p w14:paraId="06B7F1FB">
      <w:pPr>
        <w:ind w:firstLine="480"/>
        <w:rPr>
          <w:highlight w:val="none"/>
        </w:rPr>
      </w:pPr>
      <w:r>
        <w:rPr>
          <w:rFonts w:hint="eastAsia"/>
          <w:highlight w:val="none"/>
        </w:rPr>
        <w:t>（6）管道施工时，厂家需在现场指导安装，确保管材及接口施工质量。</w:t>
      </w:r>
    </w:p>
    <w:p w14:paraId="59CAE5FA">
      <w:pPr>
        <w:ind w:firstLine="480"/>
        <w:rPr>
          <w:highlight w:val="none"/>
        </w:rPr>
      </w:pPr>
      <w:r>
        <w:rPr>
          <w:rFonts w:hint="eastAsia"/>
          <w:highlight w:val="none"/>
        </w:rPr>
        <w:t>（7）施工单位施工前应对现场进行仔细勘察，应充分考虑现场情况不同时引起的工程费用，包含土方、支护、管线保护及周边的临时排水等必要的措施费用。</w:t>
      </w:r>
    </w:p>
    <w:p w14:paraId="57E57FB6">
      <w:pPr>
        <w:ind w:firstLine="480"/>
        <w:rPr>
          <w:highlight w:val="none"/>
        </w:rPr>
      </w:pPr>
      <w:r>
        <w:rPr>
          <w:rFonts w:hint="eastAsia"/>
          <w:highlight w:val="none"/>
        </w:rPr>
        <w:t>（8）排水管道与其他管道交叉处理时，应使排水管道的承插口接口避开相交处。</w:t>
      </w:r>
    </w:p>
    <w:p w14:paraId="1A61456E">
      <w:pPr>
        <w:ind w:firstLine="480"/>
        <w:rPr>
          <w:highlight w:val="none"/>
        </w:rPr>
      </w:pPr>
      <w:r>
        <w:rPr>
          <w:rFonts w:hint="eastAsia"/>
          <w:highlight w:val="none"/>
        </w:rPr>
        <w:t>（9）雨水口位置应根据路面坡度以及道路开口情况适当调整，确保雨水口设置在道路最低点，道路开口处可适当增设边管，增加雨水口数量。</w:t>
      </w:r>
    </w:p>
    <w:p w14:paraId="20B15E69">
      <w:pPr>
        <w:ind w:firstLine="480"/>
        <w:rPr>
          <w:highlight w:val="none"/>
        </w:rPr>
      </w:pPr>
      <w:r>
        <w:rPr>
          <w:rFonts w:hint="eastAsia"/>
          <w:highlight w:val="none"/>
        </w:rPr>
        <w:t>（10）雨季施工时，应尽可能缩短开槽长度，且快成槽、快回填，并采取防止泡槽措施。一旦发生泡槽，应将受泡的软化土层清除，换填砂石料或回填砂。此外，还应采取措施，防止管材上浮。若管道安装完毕，发生管材上浮，应进行管内底高程的复测和外观检测，如发现位移、漂浮、拔口等现象，应及时返工处理。</w:t>
      </w:r>
    </w:p>
    <w:p w14:paraId="4F7FA6A1">
      <w:pPr>
        <w:ind w:firstLine="480"/>
        <w:rPr>
          <w:highlight w:val="none"/>
        </w:rPr>
      </w:pPr>
      <w:r>
        <w:rPr>
          <w:rFonts w:hint="eastAsia"/>
          <w:highlight w:val="none"/>
        </w:rPr>
        <w:t>（11）检查井内均应设置防跌落装置，装置承重能力不应小于200kg。</w:t>
      </w:r>
    </w:p>
    <w:p w14:paraId="6F284913">
      <w:pPr>
        <w:ind w:firstLine="480"/>
        <w:rPr>
          <w:highlight w:val="none"/>
        </w:rPr>
      </w:pPr>
      <w:r>
        <w:rPr>
          <w:rFonts w:hint="eastAsia"/>
          <w:highlight w:val="none"/>
        </w:rPr>
        <w:t>（12）管道埋深较大，遇有软基或保护现状建（构）筑物时，须采用相应的支护措施进行开挖。</w:t>
      </w:r>
    </w:p>
    <w:p w14:paraId="77884EE4">
      <w:pPr>
        <w:ind w:firstLine="480"/>
        <w:rPr>
          <w:highlight w:val="none"/>
        </w:rPr>
      </w:pPr>
      <w:r>
        <w:rPr>
          <w:rFonts w:hint="eastAsia"/>
          <w:highlight w:val="none"/>
        </w:rPr>
        <w:t>（13）新、旧排水管道接驳、改建，应注意管道通风，确保沼气浓度在安全范围施工。下井前先打开前后相邻的井盖3-4个，充分通风不小于2小时，井深大于3 米时，通风时间应不小于2.5 小时，必要时采用鼓风机强行通风, 确保沼气等有毒有害气体浓度在安全范围内，方可下井施工及检查，同时应配备有毒有害气体浓度的检测设备及防毒面具等安全设施。</w:t>
      </w:r>
    </w:p>
    <w:p w14:paraId="43477DBC">
      <w:pPr>
        <w:ind w:firstLine="480"/>
        <w:rPr>
          <w:highlight w:val="none"/>
        </w:rPr>
      </w:pPr>
      <w:r>
        <w:rPr>
          <w:rFonts w:hint="eastAsia"/>
          <w:highlight w:val="none"/>
        </w:rPr>
        <w:t>（14）柔性管道回填至设计地面标高时，应在12-24h内测量并记录管道变形率，检测仪器要求采用CCTV；化学建材管道变形率应不超过3%；变形率符合设计要求，并跟相关部门确认后方可验收。具体要求详见《给水排水管道工程施工及验收规范》GB50268-2008中4.5.12。</w:t>
      </w:r>
    </w:p>
    <w:p w14:paraId="28AF6758">
      <w:pPr>
        <w:ind w:firstLine="480"/>
        <w:rPr>
          <w:highlight w:val="none"/>
        </w:rPr>
      </w:pPr>
      <w:r>
        <w:rPr>
          <w:rFonts w:hint="eastAsia"/>
          <w:highlight w:val="none"/>
        </w:rPr>
        <w:t>（15）施工单位应严格按照《给水排水管道工程施工及验收规范》（GB50268-2008）、《埋地给水排水玻璃纤维增强热固性树脂夹砂管管道工程施工及验收规程》（CECS129-2001）进行施工，其它未尽事宜，均按国家现行相关规范、规定执行。</w:t>
      </w:r>
    </w:p>
    <w:p w14:paraId="6C1C70D6">
      <w:pPr>
        <w:ind w:firstLine="480"/>
        <w:rPr>
          <w:highlight w:val="none"/>
        </w:rPr>
      </w:pPr>
      <w:r>
        <w:rPr>
          <w:rFonts w:hint="eastAsia"/>
          <w:highlight w:val="none"/>
        </w:rPr>
        <w:t>（16）本工程实施前必须征得相关主管部门同意后方可施工。</w:t>
      </w:r>
    </w:p>
    <w:p w14:paraId="1A21A1BA">
      <w:pPr>
        <w:ind w:firstLine="480"/>
        <w:rPr>
          <w:highlight w:val="none"/>
        </w:rPr>
      </w:pPr>
      <w:r>
        <w:rPr>
          <w:rFonts w:hint="eastAsia"/>
          <w:highlight w:val="none"/>
        </w:rPr>
        <w:t>（17）如果施工时发现地质情况与勘察资料相差较大，应立即会同业主、监理、设计等单位工同协商解决。</w:t>
      </w:r>
    </w:p>
    <w:p w14:paraId="17462A46">
      <w:pPr>
        <w:ind w:firstLine="480"/>
        <w:rPr>
          <w:highlight w:val="none"/>
        </w:rPr>
      </w:pPr>
      <w:r>
        <w:rPr>
          <w:rFonts w:hint="eastAsia"/>
          <w:highlight w:val="none"/>
        </w:rPr>
        <w:t>（18）未尽事宜，请参考相关规范、规定执行。</w:t>
      </w:r>
    </w:p>
    <w:p w14:paraId="79D080C4">
      <w:pPr>
        <w:pStyle w:val="4"/>
        <w:spacing w:before="163" w:after="163"/>
        <w:ind w:firstLine="560"/>
        <w:rPr>
          <w:color w:val="auto"/>
          <w:highlight w:val="none"/>
        </w:rPr>
      </w:pPr>
      <w:bookmarkStart w:id="22" w:name="_Toc2813"/>
      <w:r>
        <w:rPr>
          <w:rFonts w:hint="eastAsia"/>
          <w:color w:val="auto"/>
          <w:highlight w:val="none"/>
        </w:rPr>
        <w:t>施工安全和预防事故发生的措施建议和指导意见</w:t>
      </w:r>
      <w:bookmarkEnd w:id="22"/>
    </w:p>
    <w:p w14:paraId="4EE8C807">
      <w:pPr>
        <w:ind w:firstLine="480"/>
        <w:rPr>
          <w:highlight w:val="none"/>
        </w:rPr>
      </w:pPr>
      <w:r>
        <w:rPr>
          <w:rFonts w:hint="eastAsia"/>
          <w:highlight w:val="none"/>
        </w:rPr>
        <w:t>（1）现场布置安全措施：施工现场的布置应符合防火、防水、防雷电等安全规定和文明施工的要求，现场道路应有防止行人、车辆等坠落的安全设施；</w:t>
      </w:r>
    </w:p>
    <w:p w14:paraId="534E92E0">
      <w:pPr>
        <w:ind w:firstLine="480"/>
        <w:rPr>
          <w:highlight w:val="none"/>
        </w:rPr>
      </w:pPr>
      <w:r>
        <w:rPr>
          <w:rFonts w:hint="eastAsia"/>
          <w:highlight w:val="none"/>
        </w:rPr>
        <w:t>（2）施工机械的安全控制措施：各种机械操作人员和车辆驾驶员，必须持有操作合格证，不准操作与操作证不相符的机械；驾驶室或操作室应保持整洁、严禁存放易燃、易爆物品，严禁酒后操作机械，严禁机械带病运转或超负荷运转。定期组织机电设备、车辆安全大检查；</w:t>
      </w:r>
    </w:p>
    <w:p w14:paraId="08658F84">
      <w:pPr>
        <w:ind w:firstLine="480"/>
        <w:rPr>
          <w:highlight w:val="none"/>
        </w:rPr>
      </w:pPr>
      <w:r>
        <w:rPr>
          <w:rFonts w:hint="eastAsia"/>
          <w:highlight w:val="none"/>
        </w:rPr>
        <w:t>（3）起重吊装作业安全技术措施：起吊重物件时，应确认所起吊物件的实际重量，吊钩处千斤绳、卡环、起重钢丝绳等，均应符合起重作业安全规定。严禁用吊钩在倾斜的方向拖拉或斜吊物件，起重臂回转所涉及区域内和重物的下方，严禁站人，起重机在架空高压线路附近进行作业，其臂杆、钢丝绳、起吊物等与架空线路的最小距离不应小于规定距离。</w:t>
      </w:r>
    </w:p>
    <w:p w14:paraId="3B3F8342">
      <w:pPr>
        <w:ind w:firstLine="480"/>
        <w:rPr>
          <w:highlight w:val="none"/>
        </w:rPr>
      </w:pPr>
      <w:r>
        <w:rPr>
          <w:rFonts w:hint="eastAsia"/>
          <w:highlight w:val="none"/>
        </w:rPr>
        <w:t>（4）灾害天气施工的安全技术措施：在安排工期时，考虑灾害天气的影响并留有余地。暴雨时不得进行砼作业，其他作业采取防范措施。做好防台工作。台风期间加固所有临时设施。台风警报时，停止施工。</w:t>
      </w:r>
    </w:p>
    <w:p w14:paraId="0E9B5FAF">
      <w:pPr>
        <w:ind w:firstLine="480"/>
        <w:rPr>
          <w:highlight w:val="none"/>
        </w:rPr>
      </w:pPr>
      <w:r>
        <w:rPr>
          <w:rFonts w:hint="eastAsia"/>
          <w:highlight w:val="none"/>
        </w:rPr>
        <w:t>（5）混凝土模板工程施工的安全技术措施：模板安装前，要组织相关人员验收和试拼装。安装时必须采取有效的防倾覆固定措施。模板安装时严禁抛掷，且不得将支架搭在模板上，也不得将模板与支架或操作台连成一体。拆除模板之前，设立禁区，并按规定程序进行拆模。</w:t>
      </w:r>
    </w:p>
    <w:p w14:paraId="79B274D8">
      <w:pPr>
        <w:ind w:firstLine="480"/>
        <w:rPr>
          <w:highlight w:val="none"/>
        </w:rPr>
      </w:pPr>
      <w:r>
        <w:rPr>
          <w:rFonts w:hint="eastAsia"/>
          <w:highlight w:val="none"/>
        </w:rPr>
        <w:t>（6）基坑工程施工的安全技术措施：支护结构施工与基坑开挖期间，支护结构达到设计强度要求前，严禁在设计预计的滑裂面范围内堆载；临时土石方的堆放应包括自身稳定性、邻近建筑物地基及基坑稳定。做好应急预案，实施信息化施工。应严格遵循开槽支撑、先撑后挖、分层开挖、严禁超挖的原则。在基坑的危险部位、临边、临空位置，设置明显的安全警示标识；夜间施工时，照明必须充足；应设置专门的上下坡道或爬梯。</w:t>
      </w:r>
    </w:p>
    <w:p w14:paraId="4E396C1E">
      <w:pPr>
        <w:ind w:firstLine="480"/>
        <w:rPr>
          <w:highlight w:val="none"/>
        </w:rPr>
      </w:pPr>
      <w:r>
        <w:rPr>
          <w:rFonts w:hint="eastAsia"/>
          <w:highlight w:val="none"/>
        </w:rPr>
        <w:t>（7）施工用电：严格执行《施工现场临时用电安全技术规范》JGJ46-2005要求。严格三级配电二级漏电保护，实行“一机、一闸、一箱、一漏”。 电工作业必须持证上岗，严禁违章作业。用电作业人员佩戴符合要求的绝缘手套，电缆不能有破损，并根据现场合理布设。加强用电安全教育，加强现场监督检查控制。</w:t>
      </w:r>
    </w:p>
    <w:p w14:paraId="0BF5993D">
      <w:pPr>
        <w:ind w:firstLine="480"/>
        <w:rPr>
          <w:highlight w:val="none"/>
        </w:rPr>
      </w:pPr>
      <w:r>
        <w:rPr>
          <w:rFonts w:hint="eastAsia"/>
          <w:highlight w:val="none"/>
        </w:rPr>
        <w:t>（8）电焊作业：规范过载、漏电、接地、接零等保护。加强过程监控，规范电源线、把线接线长度及接头数量。加强用电安全教育，电工作业必须持证上岗，严禁违章操作。</w:t>
      </w:r>
    </w:p>
    <w:p w14:paraId="68046092">
      <w:pPr>
        <w:ind w:firstLine="480"/>
        <w:rPr>
          <w:highlight w:val="none"/>
        </w:rPr>
      </w:pPr>
      <w:r>
        <w:rPr>
          <w:rFonts w:hint="eastAsia"/>
          <w:highlight w:val="none"/>
        </w:rPr>
        <w:t>（9）气割作业：氧气、乙炔使用间距大于6米以上，距明火12米以上。氧气、乙炔瓶必须分库存放，严禁倒地存放。存放及使用位置配备足够数量的灭火器。</w:t>
      </w:r>
    </w:p>
    <w:p w14:paraId="6AC8BC57">
      <w:pPr>
        <w:pStyle w:val="4"/>
        <w:spacing w:before="163" w:after="163"/>
        <w:ind w:firstLine="560" w:firstLineChars="200"/>
        <w:rPr>
          <w:color w:val="auto"/>
          <w:highlight w:val="none"/>
        </w:rPr>
      </w:pPr>
      <w:bookmarkStart w:id="23" w:name="_Toc6759"/>
      <w:r>
        <w:rPr>
          <w:rFonts w:hint="eastAsia"/>
          <w:color w:val="auto"/>
          <w:highlight w:val="none"/>
        </w:rPr>
        <w:t>危险性较大的分部分项工程施工注意事项</w:t>
      </w:r>
      <w:bookmarkEnd w:id="23"/>
    </w:p>
    <w:p w14:paraId="31EE3C69">
      <w:pPr>
        <w:ind w:firstLine="480"/>
        <w:rPr>
          <w:highlight w:val="none"/>
        </w:rPr>
      </w:pPr>
      <w:r>
        <w:rPr>
          <w:rFonts w:hint="eastAsia"/>
          <w:highlight w:val="none"/>
        </w:rPr>
        <w:t>（1）编制依据</w:t>
      </w:r>
    </w:p>
    <w:p w14:paraId="1B9043B7">
      <w:pPr>
        <w:ind w:firstLine="480"/>
        <w:rPr>
          <w:highlight w:val="none"/>
        </w:rPr>
      </w:pPr>
      <w:r>
        <w:rPr>
          <w:rFonts w:hint="eastAsia"/>
          <w:highlight w:val="none"/>
        </w:rPr>
        <w:t>《危险性较大的分部分项工程安全管理规定》（中华人民共和国住房和城乡建设部令第</w:t>
      </w:r>
      <w:r>
        <w:rPr>
          <w:highlight w:val="none"/>
        </w:rPr>
        <w:t>37</w:t>
      </w:r>
      <w:r>
        <w:rPr>
          <w:rFonts w:hint="eastAsia"/>
          <w:highlight w:val="none"/>
        </w:rPr>
        <w:t>号）；</w:t>
      </w:r>
    </w:p>
    <w:p w14:paraId="08828678">
      <w:pPr>
        <w:ind w:firstLine="480"/>
        <w:rPr>
          <w:highlight w:val="none"/>
        </w:rPr>
      </w:pPr>
      <w:r>
        <w:rPr>
          <w:rFonts w:hint="eastAsia"/>
          <w:highlight w:val="none"/>
        </w:rPr>
        <w:t>住房城乡建设部办公厅关于实施《危险性较大的分部分项工程安全管理规定》有关问题的通知 建办质〔2018〕31号</w:t>
      </w:r>
    </w:p>
    <w:p w14:paraId="126D6BE9">
      <w:pPr>
        <w:ind w:firstLine="480"/>
        <w:rPr>
          <w:highlight w:val="none"/>
        </w:rPr>
      </w:pPr>
      <w:r>
        <w:rPr>
          <w:rFonts w:hint="eastAsia"/>
          <w:highlight w:val="none"/>
        </w:rPr>
        <w:t>（2）总体要求</w:t>
      </w:r>
    </w:p>
    <w:p w14:paraId="0AD1739C">
      <w:pPr>
        <w:ind w:firstLine="480"/>
        <w:rPr>
          <w:highlight w:val="none"/>
        </w:rPr>
      </w:pPr>
      <w:r>
        <w:rPr>
          <w:highlight w:val="none"/>
        </w:rPr>
        <w:t xml:space="preserve"> </w:t>
      </w:r>
      <w:r>
        <w:rPr>
          <w:rFonts w:hint="eastAsia"/>
          <w:highlight w:val="none"/>
        </w:rPr>
        <w:t>工程参建各方应认真按照《危险性较大的分部分项工程安全管理规定》进行施工管理，施工单位应当在危大工程施工前组织工程技术人员编制专项施工方案，对于超过一定规模的危大工程，建设单位、施工单位应当组织召开专家论证会对专项施工方案进行论证</w:t>
      </w:r>
    </w:p>
    <w:p w14:paraId="204CD05C">
      <w:pPr>
        <w:ind w:firstLine="480"/>
        <w:rPr>
          <w:highlight w:val="none"/>
        </w:rPr>
      </w:pPr>
      <w:r>
        <w:rPr>
          <w:rFonts w:hint="eastAsia"/>
          <w:highlight w:val="none"/>
        </w:rPr>
        <w:t>（3）风险源辨识</w:t>
      </w:r>
    </w:p>
    <w:p w14:paraId="3DE2251A">
      <w:pPr>
        <w:ind w:firstLine="480"/>
        <w:rPr>
          <w:highlight w:val="none"/>
        </w:rPr>
      </w:pPr>
      <w:r>
        <w:rPr>
          <w:rFonts w:hint="eastAsia"/>
          <w:highlight w:val="none"/>
        </w:rPr>
        <w:t>本项目风险源包括工程自身风险和环境风险等。</w:t>
      </w:r>
    </w:p>
    <w:p w14:paraId="27B61B75">
      <w:pPr>
        <w:ind w:firstLine="480"/>
        <w:rPr>
          <w:highlight w:val="none"/>
        </w:rPr>
      </w:pPr>
      <w:r>
        <w:rPr>
          <w:rFonts w:hint="eastAsia"/>
          <w:highlight w:val="none"/>
        </w:rPr>
        <w:t>工程自身风险除危险性较大的内容外，还包括不良地质（岩性及风化程度、构造带、地下水、高边坡、土洞、溶洞、液化土、软土、滑坡、泥石流等）、恶劣气候（暴风、暴雨、洪水、雷电等）、运输通行（撞击等）等内容。</w:t>
      </w:r>
    </w:p>
    <w:p w14:paraId="10481626">
      <w:pPr>
        <w:ind w:firstLine="480"/>
        <w:rPr>
          <w:highlight w:val="none"/>
        </w:rPr>
      </w:pPr>
      <w:r>
        <w:rPr>
          <w:rFonts w:hint="eastAsia"/>
          <w:highlight w:val="none"/>
        </w:rPr>
        <w:t>环境风险主要包括以下内容：</w:t>
      </w:r>
    </w:p>
    <w:p w14:paraId="38865D96">
      <w:pPr>
        <w:ind w:firstLine="480"/>
        <w:rPr>
          <w:highlight w:val="none"/>
        </w:rPr>
      </w:pPr>
      <w:r>
        <w:rPr>
          <w:rFonts w:hint="eastAsia"/>
          <w:highlight w:val="none"/>
        </w:rPr>
        <w:fldChar w:fldCharType="begin"/>
      </w:r>
      <w:r>
        <w:rPr>
          <w:rFonts w:hint="eastAsia"/>
          <w:highlight w:val="none"/>
        </w:rPr>
        <w:instrText xml:space="preserve"> = 1 \* GB3 \* MERGEFORMAT </w:instrText>
      </w:r>
      <w:r>
        <w:rPr>
          <w:rFonts w:hint="eastAsia"/>
          <w:highlight w:val="none"/>
        </w:rPr>
        <w:fldChar w:fldCharType="separate"/>
      </w:r>
      <w:r>
        <w:rPr>
          <w:rFonts w:hint="eastAsia"/>
          <w:highlight w:val="none"/>
        </w:rPr>
        <w:t>①</w:t>
      </w:r>
      <w:r>
        <w:rPr>
          <w:rFonts w:hint="eastAsia"/>
          <w:highlight w:val="none"/>
        </w:rPr>
        <w:fldChar w:fldCharType="end"/>
      </w:r>
      <w:r>
        <w:rPr>
          <w:rFonts w:hint="eastAsia"/>
          <w:highlight w:val="none"/>
        </w:rPr>
        <w:t>工程周边的铁路，包括地上、地面、地下。</w:t>
      </w:r>
    </w:p>
    <w:p w14:paraId="15C11CA9">
      <w:pPr>
        <w:ind w:firstLine="480"/>
        <w:rPr>
          <w:highlight w:val="none"/>
        </w:rPr>
      </w:pPr>
      <w:r>
        <w:rPr>
          <w:rFonts w:hint="eastAsia"/>
          <w:highlight w:val="none"/>
        </w:rPr>
        <w:fldChar w:fldCharType="begin"/>
      </w:r>
      <w:r>
        <w:rPr>
          <w:rFonts w:hint="eastAsia"/>
          <w:highlight w:val="none"/>
        </w:rPr>
        <w:instrText xml:space="preserve"> = 2 \* GB3 \* MERGEFORMAT </w:instrText>
      </w:r>
      <w:r>
        <w:rPr>
          <w:rFonts w:hint="eastAsia"/>
          <w:highlight w:val="none"/>
        </w:rPr>
        <w:fldChar w:fldCharType="separate"/>
      </w:r>
      <w:r>
        <w:rPr>
          <w:rFonts w:hint="eastAsia"/>
          <w:highlight w:val="none"/>
        </w:rPr>
        <w:t>②</w:t>
      </w:r>
      <w:r>
        <w:rPr>
          <w:rFonts w:hint="eastAsia"/>
          <w:highlight w:val="none"/>
        </w:rPr>
        <w:fldChar w:fldCharType="end"/>
      </w:r>
      <w:r>
        <w:rPr>
          <w:rFonts w:hint="eastAsia"/>
          <w:highlight w:val="none"/>
        </w:rPr>
        <w:t>工程周边的桥梁，包括公路、市政等。</w:t>
      </w:r>
    </w:p>
    <w:p w14:paraId="2C7538B7">
      <w:pPr>
        <w:ind w:firstLine="480"/>
        <w:rPr>
          <w:highlight w:val="none"/>
        </w:rPr>
      </w:pPr>
      <w:r>
        <w:rPr>
          <w:highlight w:val="none"/>
        </w:rPr>
        <w:t xml:space="preserve"> </w:t>
      </w:r>
      <w:r>
        <w:rPr>
          <w:rFonts w:hint="eastAsia"/>
          <w:highlight w:val="none"/>
        </w:rPr>
        <w:fldChar w:fldCharType="begin"/>
      </w:r>
      <w:r>
        <w:rPr>
          <w:rFonts w:hint="eastAsia"/>
          <w:highlight w:val="none"/>
        </w:rPr>
        <w:instrText xml:space="preserve"> = 3 \* GB3 \* MERGEFORMAT </w:instrText>
      </w:r>
      <w:r>
        <w:rPr>
          <w:rFonts w:hint="eastAsia"/>
          <w:highlight w:val="none"/>
        </w:rPr>
        <w:fldChar w:fldCharType="separate"/>
      </w:r>
      <w:r>
        <w:rPr>
          <w:rFonts w:hint="eastAsia"/>
          <w:highlight w:val="none"/>
        </w:rPr>
        <w:t>③</w:t>
      </w:r>
      <w:r>
        <w:rPr>
          <w:rFonts w:hint="eastAsia"/>
          <w:highlight w:val="none"/>
        </w:rPr>
        <w:fldChar w:fldCharType="end"/>
      </w:r>
      <w:r>
        <w:rPr>
          <w:rFonts w:hint="eastAsia"/>
          <w:highlight w:val="none"/>
        </w:rPr>
        <w:t>工程周边的建筑，包括地上、地下等。</w:t>
      </w:r>
    </w:p>
    <w:p w14:paraId="280D9C99">
      <w:pPr>
        <w:ind w:firstLine="480"/>
        <w:rPr>
          <w:highlight w:val="none"/>
        </w:rPr>
      </w:pPr>
      <w:r>
        <w:rPr>
          <w:rFonts w:hint="eastAsia"/>
          <w:highlight w:val="none"/>
        </w:rPr>
        <w:fldChar w:fldCharType="begin"/>
      </w:r>
      <w:r>
        <w:rPr>
          <w:rFonts w:hint="eastAsia"/>
          <w:highlight w:val="none"/>
        </w:rPr>
        <w:instrText xml:space="preserve"> = 4 \* GB3 \* MERGEFORMAT </w:instrText>
      </w:r>
      <w:r>
        <w:rPr>
          <w:rFonts w:hint="eastAsia"/>
          <w:highlight w:val="none"/>
        </w:rPr>
        <w:fldChar w:fldCharType="separate"/>
      </w:r>
      <w:r>
        <w:rPr>
          <w:rFonts w:hint="eastAsia"/>
          <w:highlight w:val="none"/>
        </w:rPr>
        <w:t>④</w:t>
      </w:r>
      <w:r>
        <w:rPr>
          <w:rFonts w:hint="eastAsia"/>
          <w:highlight w:val="none"/>
        </w:rPr>
        <w:fldChar w:fldCharType="end"/>
      </w:r>
      <w:r>
        <w:rPr>
          <w:rFonts w:hint="eastAsia"/>
          <w:highlight w:val="none"/>
        </w:rPr>
        <w:t>工程周边的管线，包括地上、地下等。</w:t>
      </w:r>
    </w:p>
    <w:p w14:paraId="2D3D6470">
      <w:pPr>
        <w:ind w:firstLine="480"/>
        <w:rPr>
          <w:highlight w:val="none"/>
        </w:rPr>
      </w:pPr>
      <w:r>
        <w:rPr>
          <w:rFonts w:hint="eastAsia"/>
          <w:highlight w:val="none"/>
        </w:rPr>
        <w:fldChar w:fldCharType="begin"/>
      </w:r>
      <w:r>
        <w:rPr>
          <w:rFonts w:hint="eastAsia"/>
          <w:highlight w:val="none"/>
        </w:rPr>
        <w:instrText xml:space="preserve"> = 5 \* GB3 \* MERGEFORMAT </w:instrText>
      </w:r>
      <w:r>
        <w:rPr>
          <w:rFonts w:hint="eastAsia"/>
          <w:highlight w:val="none"/>
        </w:rPr>
        <w:fldChar w:fldCharType="separate"/>
      </w:r>
      <w:r>
        <w:rPr>
          <w:rFonts w:hint="eastAsia"/>
          <w:highlight w:val="none"/>
        </w:rPr>
        <w:t>⑤</w:t>
      </w:r>
      <w:r>
        <w:rPr>
          <w:rFonts w:hint="eastAsia"/>
          <w:highlight w:val="none"/>
        </w:rPr>
        <w:fldChar w:fldCharType="end"/>
      </w:r>
      <w:r>
        <w:rPr>
          <w:rFonts w:hint="eastAsia"/>
          <w:highlight w:val="none"/>
        </w:rPr>
        <w:t>工程周边的水体，包括江河、湖泊等。</w:t>
      </w:r>
    </w:p>
    <w:p w14:paraId="2742E1C6">
      <w:pPr>
        <w:ind w:firstLine="480"/>
        <w:rPr>
          <w:highlight w:val="none"/>
        </w:rPr>
      </w:pPr>
      <w:r>
        <w:rPr>
          <w:rFonts w:hint="eastAsia"/>
          <w:highlight w:val="none"/>
        </w:rPr>
        <w:fldChar w:fldCharType="begin"/>
      </w:r>
      <w:r>
        <w:rPr>
          <w:rFonts w:hint="eastAsia"/>
          <w:highlight w:val="none"/>
        </w:rPr>
        <w:instrText xml:space="preserve"> = 6 \* GB3 \* MERGEFORMAT </w:instrText>
      </w:r>
      <w:r>
        <w:rPr>
          <w:rFonts w:hint="eastAsia"/>
          <w:highlight w:val="none"/>
        </w:rPr>
        <w:fldChar w:fldCharType="separate"/>
      </w:r>
      <w:r>
        <w:rPr>
          <w:rFonts w:hint="eastAsia"/>
          <w:highlight w:val="none"/>
        </w:rPr>
        <w:t>⑥</w:t>
      </w:r>
      <w:r>
        <w:rPr>
          <w:rFonts w:hint="eastAsia"/>
          <w:highlight w:val="none"/>
        </w:rPr>
        <w:fldChar w:fldCharType="end"/>
      </w:r>
      <w:r>
        <w:rPr>
          <w:rFonts w:hint="eastAsia"/>
          <w:highlight w:val="none"/>
        </w:rPr>
        <w:t>工程周边的文物，包括建筑、树木等。</w:t>
      </w:r>
    </w:p>
    <w:p w14:paraId="4BDC2E8A">
      <w:pPr>
        <w:ind w:firstLine="480"/>
        <w:rPr>
          <w:highlight w:val="none"/>
        </w:rPr>
      </w:pPr>
      <w:r>
        <w:rPr>
          <w:highlight w:val="none"/>
        </w:rPr>
        <w:t xml:space="preserve"> </w:t>
      </w:r>
      <w:r>
        <w:rPr>
          <w:rFonts w:hint="eastAsia"/>
          <w:highlight w:val="none"/>
        </w:rPr>
        <w:fldChar w:fldCharType="begin"/>
      </w:r>
      <w:r>
        <w:rPr>
          <w:rFonts w:hint="eastAsia"/>
          <w:highlight w:val="none"/>
        </w:rPr>
        <w:instrText xml:space="preserve"> = 7 \* GB3 \* MERGEFORMAT </w:instrText>
      </w:r>
      <w:r>
        <w:rPr>
          <w:rFonts w:hint="eastAsia"/>
          <w:highlight w:val="none"/>
        </w:rPr>
        <w:fldChar w:fldCharType="separate"/>
      </w:r>
      <w:r>
        <w:rPr>
          <w:rFonts w:hint="eastAsia"/>
          <w:highlight w:val="none"/>
        </w:rPr>
        <w:t>⑦</w:t>
      </w:r>
      <w:r>
        <w:rPr>
          <w:rFonts w:hint="eastAsia"/>
          <w:highlight w:val="none"/>
        </w:rPr>
        <w:fldChar w:fldCharType="end"/>
      </w:r>
      <w:r>
        <w:rPr>
          <w:rFonts w:hint="eastAsia"/>
          <w:highlight w:val="none"/>
        </w:rPr>
        <w:t>工程周边的可燃物，包括油、气、化学产品等。</w:t>
      </w:r>
    </w:p>
    <w:p w14:paraId="58F23428">
      <w:pPr>
        <w:ind w:firstLine="480"/>
        <w:rPr>
          <w:highlight w:val="none"/>
        </w:rPr>
      </w:pPr>
      <w:r>
        <w:rPr>
          <w:rFonts w:hint="eastAsia"/>
          <w:highlight w:val="none"/>
        </w:rPr>
        <w:fldChar w:fldCharType="begin"/>
      </w:r>
      <w:r>
        <w:rPr>
          <w:rFonts w:hint="eastAsia"/>
          <w:highlight w:val="none"/>
        </w:rPr>
        <w:instrText xml:space="preserve"> = 8 \* GB3 \* MERGEFORMAT </w:instrText>
      </w:r>
      <w:r>
        <w:rPr>
          <w:rFonts w:hint="eastAsia"/>
          <w:highlight w:val="none"/>
        </w:rPr>
        <w:fldChar w:fldCharType="separate"/>
      </w:r>
      <w:r>
        <w:rPr>
          <w:rFonts w:hint="eastAsia"/>
          <w:highlight w:val="none"/>
        </w:rPr>
        <w:t>⑧</w:t>
      </w:r>
      <w:r>
        <w:rPr>
          <w:rFonts w:hint="eastAsia"/>
          <w:highlight w:val="none"/>
        </w:rPr>
        <w:fldChar w:fldCharType="end"/>
      </w:r>
      <w:r>
        <w:rPr>
          <w:rFonts w:hint="eastAsia"/>
          <w:highlight w:val="none"/>
        </w:rPr>
        <w:t>参建各方确定应列入该范围的其他内容。</w:t>
      </w:r>
    </w:p>
    <w:p w14:paraId="5EC7BC12">
      <w:pPr>
        <w:ind w:firstLine="480"/>
        <w:rPr>
          <w:highlight w:val="none"/>
        </w:rPr>
      </w:pPr>
      <w:r>
        <w:rPr>
          <w:rFonts w:hint="eastAsia"/>
          <w:highlight w:val="none"/>
        </w:rPr>
        <w:t>（4）保障工程周边环境安全和工程施工安全的共性意见</w:t>
      </w:r>
    </w:p>
    <w:p w14:paraId="2F86DAB4">
      <w:pPr>
        <w:ind w:firstLine="480"/>
        <w:rPr>
          <w:highlight w:val="none"/>
        </w:rPr>
      </w:pPr>
      <w:r>
        <w:rPr>
          <w:rFonts w:hint="eastAsia"/>
          <w:highlight w:val="none"/>
        </w:rPr>
        <w:t>a. 施工前的准备</w:t>
      </w:r>
    </w:p>
    <w:p w14:paraId="6380EEE6">
      <w:pPr>
        <w:ind w:firstLine="480"/>
        <w:rPr>
          <w:highlight w:val="none"/>
        </w:rPr>
      </w:pPr>
      <w:r>
        <w:rPr>
          <w:rFonts w:hint="eastAsia"/>
          <w:highlight w:val="none"/>
        </w:rPr>
        <w:fldChar w:fldCharType="begin"/>
      </w:r>
      <w:r>
        <w:rPr>
          <w:rFonts w:hint="eastAsia"/>
          <w:highlight w:val="none"/>
        </w:rPr>
        <w:instrText xml:space="preserve"> = 1 \* GB3 \* MERGEFORMAT </w:instrText>
      </w:r>
      <w:r>
        <w:rPr>
          <w:rFonts w:hint="eastAsia"/>
          <w:highlight w:val="none"/>
        </w:rPr>
        <w:fldChar w:fldCharType="separate"/>
      </w:r>
      <w:r>
        <w:rPr>
          <w:rFonts w:hint="eastAsia"/>
          <w:highlight w:val="none"/>
        </w:rPr>
        <w:t>①</w:t>
      </w:r>
      <w:r>
        <w:rPr>
          <w:rFonts w:hint="eastAsia"/>
          <w:highlight w:val="none"/>
        </w:rPr>
        <w:fldChar w:fldCharType="end"/>
      </w:r>
      <w:r>
        <w:rPr>
          <w:rFonts w:hint="eastAsia"/>
          <w:highlight w:val="none"/>
        </w:rPr>
        <w:t>应认真熟阅勘察报告、设计图纸、设计变更等文件，通知有关方面组织设计交底，掌握设计意图，确认采用文件是最终版本。</w:t>
      </w:r>
    </w:p>
    <w:p w14:paraId="6459E0A5">
      <w:pPr>
        <w:ind w:firstLine="480"/>
        <w:rPr>
          <w:highlight w:val="none"/>
        </w:rPr>
      </w:pPr>
      <w:r>
        <w:rPr>
          <w:rFonts w:hint="eastAsia"/>
          <w:highlight w:val="none"/>
        </w:rPr>
        <w:fldChar w:fldCharType="begin"/>
      </w:r>
      <w:r>
        <w:rPr>
          <w:rFonts w:hint="eastAsia"/>
          <w:highlight w:val="none"/>
        </w:rPr>
        <w:instrText xml:space="preserve"> = 2 \* GB3 \* MERGEFORMAT </w:instrText>
      </w:r>
      <w:r>
        <w:rPr>
          <w:rFonts w:hint="eastAsia"/>
          <w:highlight w:val="none"/>
        </w:rPr>
        <w:fldChar w:fldCharType="separate"/>
      </w:r>
      <w:r>
        <w:rPr>
          <w:rFonts w:hint="eastAsia"/>
          <w:highlight w:val="none"/>
        </w:rPr>
        <w:t>②</w:t>
      </w:r>
      <w:r>
        <w:rPr>
          <w:rFonts w:hint="eastAsia"/>
          <w:highlight w:val="none"/>
        </w:rPr>
        <w:fldChar w:fldCharType="end"/>
      </w:r>
      <w:r>
        <w:rPr>
          <w:rFonts w:hint="eastAsia"/>
          <w:highlight w:val="none"/>
        </w:rPr>
        <w:t>应对勘察、设计等文件进行核查，如发现文件未经审查，应及时反馈业主。</w:t>
      </w:r>
    </w:p>
    <w:p w14:paraId="670BF3C7">
      <w:pPr>
        <w:ind w:firstLine="480"/>
        <w:rPr>
          <w:highlight w:val="none"/>
        </w:rPr>
      </w:pPr>
      <w:r>
        <w:rPr>
          <w:rFonts w:hint="eastAsia"/>
          <w:highlight w:val="none"/>
        </w:rPr>
        <w:fldChar w:fldCharType="begin"/>
      </w:r>
      <w:r>
        <w:rPr>
          <w:rFonts w:hint="eastAsia"/>
          <w:highlight w:val="none"/>
        </w:rPr>
        <w:instrText xml:space="preserve"> = 3 \* GB3 \* MERGEFORMAT </w:instrText>
      </w:r>
      <w:r>
        <w:rPr>
          <w:rFonts w:hint="eastAsia"/>
          <w:highlight w:val="none"/>
        </w:rPr>
        <w:fldChar w:fldCharType="separate"/>
      </w:r>
      <w:r>
        <w:rPr>
          <w:rFonts w:hint="eastAsia"/>
          <w:highlight w:val="none"/>
        </w:rPr>
        <w:t>③</w:t>
      </w:r>
      <w:r>
        <w:rPr>
          <w:rFonts w:hint="eastAsia"/>
          <w:highlight w:val="none"/>
        </w:rPr>
        <w:fldChar w:fldCharType="end"/>
      </w:r>
      <w:r>
        <w:rPr>
          <w:rFonts w:hint="eastAsia"/>
          <w:highlight w:val="none"/>
        </w:rPr>
        <w:t>应对现场地形进行核查，如遇设计采用地形图有差异，应及时反馈业主。</w:t>
      </w:r>
    </w:p>
    <w:p w14:paraId="50941154">
      <w:pPr>
        <w:ind w:firstLine="480"/>
        <w:rPr>
          <w:highlight w:val="none"/>
        </w:rPr>
      </w:pPr>
      <w:r>
        <w:rPr>
          <w:rFonts w:hint="eastAsia"/>
          <w:highlight w:val="none"/>
        </w:rPr>
        <w:fldChar w:fldCharType="begin"/>
      </w:r>
      <w:r>
        <w:rPr>
          <w:rFonts w:hint="eastAsia"/>
          <w:highlight w:val="none"/>
        </w:rPr>
        <w:instrText xml:space="preserve"> = 4 \* GB3 \* MERGEFORMAT </w:instrText>
      </w:r>
      <w:r>
        <w:rPr>
          <w:rFonts w:hint="eastAsia"/>
          <w:highlight w:val="none"/>
        </w:rPr>
        <w:fldChar w:fldCharType="separate"/>
      </w:r>
      <w:r>
        <w:rPr>
          <w:rFonts w:hint="eastAsia"/>
          <w:highlight w:val="none"/>
        </w:rPr>
        <w:t>④</w:t>
      </w:r>
      <w:r>
        <w:rPr>
          <w:rFonts w:hint="eastAsia"/>
          <w:highlight w:val="none"/>
        </w:rPr>
        <w:fldChar w:fldCharType="end"/>
      </w:r>
      <w:r>
        <w:rPr>
          <w:rFonts w:hint="eastAsia"/>
          <w:highlight w:val="none"/>
        </w:rPr>
        <w:t>应对现场管线进行核查，如遇设计采用管线图有差异，应及时反馈业主。</w:t>
      </w:r>
    </w:p>
    <w:p w14:paraId="5B699CE7">
      <w:pPr>
        <w:ind w:firstLine="480"/>
        <w:rPr>
          <w:highlight w:val="none"/>
        </w:rPr>
      </w:pPr>
      <w:r>
        <w:rPr>
          <w:rFonts w:hint="eastAsia"/>
          <w:highlight w:val="none"/>
        </w:rPr>
        <w:fldChar w:fldCharType="begin"/>
      </w:r>
      <w:r>
        <w:rPr>
          <w:rFonts w:hint="eastAsia"/>
          <w:highlight w:val="none"/>
        </w:rPr>
        <w:instrText xml:space="preserve"> = 5 \* GB3 \* MERGEFORMAT </w:instrText>
      </w:r>
      <w:r>
        <w:rPr>
          <w:rFonts w:hint="eastAsia"/>
          <w:highlight w:val="none"/>
        </w:rPr>
        <w:fldChar w:fldCharType="separate"/>
      </w:r>
      <w:r>
        <w:rPr>
          <w:rFonts w:hint="eastAsia"/>
          <w:highlight w:val="none"/>
        </w:rPr>
        <w:t>⑤</w:t>
      </w:r>
      <w:r>
        <w:rPr>
          <w:rFonts w:hint="eastAsia"/>
          <w:highlight w:val="none"/>
        </w:rPr>
        <w:fldChar w:fldCharType="end"/>
      </w:r>
      <w:r>
        <w:rPr>
          <w:rFonts w:hint="eastAsia"/>
          <w:highlight w:val="none"/>
        </w:rPr>
        <w:t>应编制施工组织方案，报有关部门审批确认。</w:t>
      </w:r>
    </w:p>
    <w:p w14:paraId="7DB53E81">
      <w:pPr>
        <w:ind w:firstLine="480"/>
        <w:rPr>
          <w:highlight w:val="none"/>
        </w:rPr>
      </w:pPr>
      <w:r>
        <w:rPr>
          <w:rFonts w:hint="eastAsia"/>
          <w:highlight w:val="none"/>
        </w:rPr>
        <w:fldChar w:fldCharType="begin"/>
      </w:r>
      <w:r>
        <w:rPr>
          <w:rFonts w:hint="eastAsia"/>
          <w:highlight w:val="none"/>
        </w:rPr>
        <w:instrText xml:space="preserve"> = 6 \* GB3 \* MERGEFORMAT </w:instrText>
      </w:r>
      <w:r>
        <w:rPr>
          <w:rFonts w:hint="eastAsia"/>
          <w:highlight w:val="none"/>
        </w:rPr>
        <w:fldChar w:fldCharType="separate"/>
      </w:r>
      <w:r>
        <w:rPr>
          <w:rFonts w:hint="eastAsia"/>
          <w:highlight w:val="none"/>
        </w:rPr>
        <w:t>⑥</w:t>
      </w:r>
      <w:r>
        <w:rPr>
          <w:rFonts w:hint="eastAsia"/>
          <w:highlight w:val="none"/>
        </w:rPr>
        <w:fldChar w:fldCharType="end"/>
      </w:r>
      <w:r>
        <w:rPr>
          <w:rFonts w:hint="eastAsia"/>
          <w:highlight w:val="none"/>
        </w:rPr>
        <w:t>应编制风险评估报告，报有关部门审批确认。</w:t>
      </w:r>
    </w:p>
    <w:p w14:paraId="2D2BCCFB">
      <w:pPr>
        <w:ind w:firstLine="480"/>
        <w:rPr>
          <w:highlight w:val="none"/>
        </w:rPr>
      </w:pPr>
      <w:r>
        <w:rPr>
          <w:rFonts w:hint="eastAsia"/>
          <w:highlight w:val="none"/>
        </w:rPr>
        <w:fldChar w:fldCharType="begin"/>
      </w:r>
      <w:r>
        <w:rPr>
          <w:rFonts w:hint="eastAsia"/>
          <w:highlight w:val="none"/>
        </w:rPr>
        <w:instrText xml:space="preserve"> = 7 \* GB3 \* MERGEFORMAT </w:instrText>
      </w:r>
      <w:r>
        <w:rPr>
          <w:rFonts w:hint="eastAsia"/>
          <w:highlight w:val="none"/>
        </w:rPr>
        <w:fldChar w:fldCharType="separate"/>
      </w:r>
      <w:r>
        <w:rPr>
          <w:rFonts w:hint="eastAsia"/>
          <w:highlight w:val="none"/>
        </w:rPr>
        <w:t>⑦</w:t>
      </w:r>
      <w:r>
        <w:rPr>
          <w:rFonts w:hint="eastAsia"/>
          <w:highlight w:val="none"/>
        </w:rPr>
        <w:fldChar w:fldCharType="end"/>
      </w:r>
      <w:r>
        <w:rPr>
          <w:rFonts w:hint="eastAsia"/>
          <w:highlight w:val="none"/>
        </w:rPr>
        <w:t>应识别环境风险，并根据环境风险分别编制专项保护方案（保护措施、监测监控、应急预案等）</w:t>
      </w:r>
      <w:r>
        <w:rPr>
          <w:highlight w:val="none"/>
        </w:rPr>
        <w:t>,</w:t>
      </w:r>
      <w:r>
        <w:rPr>
          <w:rFonts w:hint="eastAsia"/>
          <w:highlight w:val="none"/>
        </w:rPr>
        <w:t>报有关部门审批确认。</w:t>
      </w:r>
    </w:p>
    <w:p w14:paraId="0463853D">
      <w:pPr>
        <w:ind w:firstLine="480"/>
        <w:rPr>
          <w:highlight w:val="none"/>
        </w:rPr>
      </w:pPr>
      <w:r>
        <w:rPr>
          <w:rFonts w:hint="eastAsia"/>
          <w:highlight w:val="none"/>
        </w:rPr>
        <w:t>b. 施工中的控制</w:t>
      </w:r>
      <w:r>
        <w:rPr>
          <w:highlight w:val="none"/>
        </w:rPr>
        <w:t xml:space="preserve"> </w:t>
      </w:r>
    </w:p>
    <w:p w14:paraId="78FB36A5">
      <w:pPr>
        <w:ind w:firstLine="480"/>
        <w:rPr>
          <w:highlight w:val="none"/>
        </w:rPr>
      </w:pPr>
      <w:r>
        <w:rPr>
          <w:rFonts w:hint="eastAsia"/>
          <w:highlight w:val="none"/>
        </w:rPr>
        <w:fldChar w:fldCharType="begin"/>
      </w:r>
      <w:r>
        <w:rPr>
          <w:rFonts w:hint="eastAsia"/>
          <w:highlight w:val="none"/>
        </w:rPr>
        <w:instrText xml:space="preserve"> = 1 \* GB3 \* MERGEFORMAT </w:instrText>
      </w:r>
      <w:r>
        <w:rPr>
          <w:rFonts w:hint="eastAsia"/>
          <w:highlight w:val="none"/>
        </w:rPr>
        <w:fldChar w:fldCharType="separate"/>
      </w:r>
      <w:r>
        <w:rPr>
          <w:rFonts w:hint="eastAsia"/>
          <w:highlight w:val="none"/>
        </w:rPr>
        <w:t>①</w:t>
      </w:r>
      <w:r>
        <w:rPr>
          <w:rFonts w:hint="eastAsia"/>
          <w:highlight w:val="none"/>
        </w:rPr>
        <w:fldChar w:fldCharType="end"/>
      </w:r>
      <w:r>
        <w:rPr>
          <w:rFonts w:hint="eastAsia"/>
          <w:highlight w:val="none"/>
        </w:rPr>
        <w:t>施工应认真按照施工注意事项及施工规范执行。</w:t>
      </w:r>
    </w:p>
    <w:p w14:paraId="586C4EB4">
      <w:pPr>
        <w:ind w:firstLine="480"/>
        <w:rPr>
          <w:highlight w:val="none"/>
        </w:rPr>
      </w:pPr>
      <w:r>
        <w:rPr>
          <w:rFonts w:hint="eastAsia"/>
          <w:highlight w:val="none"/>
        </w:rPr>
        <w:fldChar w:fldCharType="begin"/>
      </w:r>
      <w:r>
        <w:rPr>
          <w:rFonts w:hint="eastAsia"/>
          <w:highlight w:val="none"/>
        </w:rPr>
        <w:instrText xml:space="preserve"> = 2 \* GB3 \* MERGEFORMAT </w:instrText>
      </w:r>
      <w:r>
        <w:rPr>
          <w:rFonts w:hint="eastAsia"/>
          <w:highlight w:val="none"/>
        </w:rPr>
        <w:fldChar w:fldCharType="separate"/>
      </w:r>
      <w:r>
        <w:rPr>
          <w:rFonts w:hint="eastAsia"/>
          <w:highlight w:val="none"/>
        </w:rPr>
        <w:t>②</w:t>
      </w:r>
      <w:r>
        <w:rPr>
          <w:rFonts w:hint="eastAsia"/>
          <w:highlight w:val="none"/>
        </w:rPr>
        <w:fldChar w:fldCharType="end"/>
      </w:r>
      <w:r>
        <w:rPr>
          <w:rFonts w:hint="eastAsia"/>
          <w:highlight w:val="none"/>
        </w:rPr>
        <w:t>施工程序应符合规范和各级质监、安监等部门要求。</w:t>
      </w:r>
    </w:p>
    <w:p w14:paraId="4E14257C">
      <w:pPr>
        <w:ind w:firstLine="480"/>
        <w:rPr>
          <w:highlight w:val="none"/>
        </w:rPr>
      </w:pPr>
      <w:r>
        <w:rPr>
          <w:rFonts w:hint="eastAsia"/>
          <w:highlight w:val="none"/>
        </w:rPr>
        <w:fldChar w:fldCharType="begin"/>
      </w:r>
      <w:r>
        <w:rPr>
          <w:rFonts w:hint="eastAsia"/>
          <w:highlight w:val="none"/>
        </w:rPr>
        <w:instrText xml:space="preserve"> = 3 \* GB3 \* MERGEFORMAT </w:instrText>
      </w:r>
      <w:r>
        <w:rPr>
          <w:rFonts w:hint="eastAsia"/>
          <w:highlight w:val="none"/>
        </w:rPr>
        <w:fldChar w:fldCharType="separate"/>
      </w:r>
      <w:r>
        <w:rPr>
          <w:rFonts w:hint="eastAsia"/>
          <w:highlight w:val="none"/>
        </w:rPr>
        <w:t>③</w:t>
      </w:r>
      <w:r>
        <w:rPr>
          <w:rFonts w:hint="eastAsia"/>
          <w:highlight w:val="none"/>
        </w:rPr>
        <w:fldChar w:fldCharType="end"/>
      </w:r>
      <w:r>
        <w:rPr>
          <w:rFonts w:hint="eastAsia"/>
          <w:highlight w:val="none"/>
        </w:rPr>
        <w:t>施工中应采取切实可行的措施对风险进行控制，避免淹溺、机械伤害、起重伤害、高出坠落、物体打击、触电、火灾、坍塌、车船撞击、施工设备事故等风险事件发生。</w:t>
      </w:r>
    </w:p>
    <w:p w14:paraId="75EED492">
      <w:pPr>
        <w:ind w:firstLine="480"/>
        <w:rPr>
          <w:highlight w:val="none"/>
        </w:rPr>
      </w:pPr>
      <w:r>
        <w:rPr>
          <w:rFonts w:hint="eastAsia"/>
          <w:highlight w:val="none"/>
        </w:rPr>
        <w:fldChar w:fldCharType="begin"/>
      </w:r>
      <w:r>
        <w:rPr>
          <w:rFonts w:hint="eastAsia"/>
          <w:highlight w:val="none"/>
        </w:rPr>
        <w:instrText xml:space="preserve"> = 4 \* GB3 \* MERGEFORMAT </w:instrText>
      </w:r>
      <w:r>
        <w:rPr>
          <w:rFonts w:hint="eastAsia"/>
          <w:highlight w:val="none"/>
        </w:rPr>
        <w:fldChar w:fldCharType="separate"/>
      </w:r>
      <w:r>
        <w:rPr>
          <w:rFonts w:hint="eastAsia"/>
          <w:highlight w:val="none"/>
        </w:rPr>
        <w:t>④</w:t>
      </w:r>
      <w:r>
        <w:rPr>
          <w:rFonts w:hint="eastAsia"/>
          <w:highlight w:val="none"/>
        </w:rPr>
        <w:fldChar w:fldCharType="end"/>
      </w:r>
      <w:r>
        <w:rPr>
          <w:rFonts w:hint="eastAsia"/>
          <w:highlight w:val="none"/>
        </w:rPr>
        <w:t>施工中对溶洞等不良地质，应有切实可行的预案。</w:t>
      </w:r>
    </w:p>
    <w:p w14:paraId="665DCCAA">
      <w:pPr>
        <w:ind w:firstLine="480"/>
        <w:rPr>
          <w:highlight w:val="none"/>
        </w:rPr>
      </w:pPr>
      <w:r>
        <w:rPr>
          <w:rFonts w:hint="eastAsia"/>
          <w:highlight w:val="none"/>
        </w:rPr>
        <w:fldChar w:fldCharType="begin"/>
      </w:r>
      <w:r>
        <w:rPr>
          <w:rFonts w:hint="eastAsia"/>
          <w:highlight w:val="none"/>
        </w:rPr>
        <w:instrText xml:space="preserve"> = 5 \* GB3 \* MERGEFORMAT </w:instrText>
      </w:r>
      <w:r>
        <w:rPr>
          <w:rFonts w:hint="eastAsia"/>
          <w:highlight w:val="none"/>
        </w:rPr>
        <w:fldChar w:fldCharType="separate"/>
      </w:r>
      <w:r>
        <w:rPr>
          <w:rFonts w:hint="eastAsia"/>
          <w:highlight w:val="none"/>
        </w:rPr>
        <w:t>⑤</w:t>
      </w:r>
      <w:r>
        <w:rPr>
          <w:rFonts w:hint="eastAsia"/>
          <w:highlight w:val="none"/>
        </w:rPr>
        <w:fldChar w:fldCharType="end"/>
      </w:r>
      <w:r>
        <w:rPr>
          <w:rFonts w:hint="eastAsia"/>
          <w:highlight w:val="none"/>
        </w:rPr>
        <w:t>施工场地严禁发生超出设计图纸以外的挖方、堆载等行为。</w:t>
      </w:r>
    </w:p>
    <w:p w14:paraId="378177B1">
      <w:pPr>
        <w:ind w:firstLine="480"/>
        <w:rPr>
          <w:highlight w:val="none"/>
        </w:rPr>
      </w:pPr>
      <w:r>
        <w:rPr>
          <w:rFonts w:hint="eastAsia"/>
          <w:highlight w:val="none"/>
        </w:rPr>
        <w:fldChar w:fldCharType="begin"/>
      </w:r>
      <w:r>
        <w:rPr>
          <w:rFonts w:hint="eastAsia"/>
          <w:highlight w:val="none"/>
        </w:rPr>
        <w:instrText xml:space="preserve"> = 6 \* GB3 \* MERGEFORMAT </w:instrText>
      </w:r>
      <w:r>
        <w:rPr>
          <w:rFonts w:hint="eastAsia"/>
          <w:highlight w:val="none"/>
        </w:rPr>
        <w:fldChar w:fldCharType="separate"/>
      </w:r>
      <w:r>
        <w:rPr>
          <w:rFonts w:hint="eastAsia"/>
          <w:highlight w:val="none"/>
        </w:rPr>
        <w:t>⑥</w:t>
      </w:r>
      <w:r>
        <w:rPr>
          <w:rFonts w:hint="eastAsia"/>
          <w:highlight w:val="none"/>
        </w:rPr>
        <w:fldChar w:fldCharType="end"/>
      </w:r>
      <w:r>
        <w:rPr>
          <w:rFonts w:hint="eastAsia"/>
          <w:highlight w:val="none"/>
        </w:rPr>
        <w:t>施工中桥面严禁随意堆放材料、设备等，严禁多辆车辆同向偏载行驶。</w:t>
      </w:r>
    </w:p>
    <w:p w14:paraId="7CD98449">
      <w:pPr>
        <w:ind w:firstLine="480"/>
        <w:rPr>
          <w:highlight w:val="none"/>
        </w:rPr>
      </w:pPr>
      <w:r>
        <w:rPr>
          <w:rFonts w:hint="eastAsia"/>
          <w:highlight w:val="none"/>
        </w:rPr>
        <w:fldChar w:fldCharType="begin"/>
      </w:r>
      <w:r>
        <w:rPr>
          <w:rFonts w:hint="eastAsia"/>
          <w:highlight w:val="none"/>
        </w:rPr>
        <w:instrText xml:space="preserve"> = 7 \* GB3 \* MERGEFORMAT </w:instrText>
      </w:r>
      <w:r>
        <w:rPr>
          <w:rFonts w:hint="eastAsia"/>
          <w:highlight w:val="none"/>
        </w:rPr>
        <w:fldChar w:fldCharType="separate"/>
      </w:r>
      <w:r>
        <w:rPr>
          <w:rFonts w:hint="eastAsia"/>
          <w:highlight w:val="none"/>
        </w:rPr>
        <w:t>⑦</w:t>
      </w:r>
      <w:r>
        <w:rPr>
          <w:rFonts w:hint="eastAsia"/>
          <w:highlight w:val="none"/>
        </w:rPr>
        <w:fldChar w:fldCharType="end"/>
      </w:r>
      <w:r>
        <w:rPr>
          <w:rFonts w:hint="eastAsia"/>
          <w:highlight w:val="none"/>
        </w:rPr>
        <w:t>施工如发现异常，应及时反馈业主。</w:t>
      </w:r>
    </w:p>
    <w:p w14:paraId="3FB4CD32">
      <w:pPr>
        <w:ind w:firstLine="480"/>
        <w:rPr>
          <w:highlight w:val="none"/>
        </w:rPr>
      </w:pPr>
      <w:r>
        <w:rPr>
          <w:rFonts w:hint="eastAsia"/>
          <w:highlight w:val="none"/>
        </w:rPr>
        <w:t>（5）危险性较大的分部分项工程对应部位与环节识别及措施意见</w:t>
      </w:r>
    </w:p>
    <w:p w14:paraId="1630C791">
      <w:pPr>
        <w:ind w:firstLine="480"/>
        <w:rPr>
          <w:highlight w:val="none"/>
        </w:rPr>
      </w:pPr>
      <w:r>
        <w:rPr>
          <w:rFonts w:hint="eastAsia"/>
          <w:highlight w:val="none"/>
        </w:rPr>
        <w:t>详见“危险性较大的分部分项工程对应部位与环节识别及措施意见一览表”</w:t>
      </w:r>
    </w:p>
    <w:p w14:paraId="6864B554">
      <w:pPr>
        <w:ind w:firstLine="480"/>
        <w:rPr>
          <w:rFonts w:hint="eastAsia"/>
          <w:highlight w:val="none"/>
        </w:rPr>
      </w:pPr>
      <w:r>
        <w:rPr>
          <w:rFonts w:hint="eastAsia"/>
          <w:highlight w:val="none"/>
        </w:rPr>
        <w:t>未见事宜参见施工规范、施工注意事项等.</w:t>
      </w:r>
    </w:p>
    <w:p w14:paraId="69FBBA68">
      <w:pPr>
        <w:pStyle w:val="4"/>
        <w:spacing w:before="163" w:after="163"/>
        <w:ind w:firstLine="560" w:firstLineChars="200"/>
        <w:rPr>
          <w:rFonts w:hint="eastAsia"/>
          <w:highlight w:val="yellow"/>
        </w:rPr>
      </w:pPr>
      <w:bookmarkStart w:id="24" w:name="_Toc23541"/>
      <w:r>
        <w:rPr>
          <w:rFonts w:hint="eastAsia"/>
          <w:highlight w:val="yellow"/>
          <w:lang w:val="en-US" w:eastAsia="zh-CN"/>
        </w:rPr>
        <w:t>工程安全技术要求</w:t>
      </w:r>
      <w:bookmarkEnd w:id="24"/>
    </w:p>
    <w:p w14:paraId="7614B487">
      <w:pPr>
        <w:ind w:firstLine="480"/>
        <w:rPr>
          <w:rFonts w:hint="eastAsia" w:ascii="Times New Roman" w:hAnsi="Times New Roman" w:eastAsia="宋体"/>
          <w:highlight w:val="yellow"/>
        </w:rPr>
      </w:pPr>
      <w:r>
        <w:rPr>
          <w:rFonts w:hint="eastAsia" w:ascii="Times New Roman" w:hAnsi="Times New Roman" w:eastAsia="宋体"/>
          <w:highlight w:val="yellow"/>
        </w:rPr>
        <w:t>1.给排水管道工程的施工应按设计及相关规范、规程要求进行，遵守有关施工安全、劳动保护、防火、防毒的法律、法规，建立安全管理体系和安全生产责任制，确保安全施工。</w:t>
      </w:r>
    </w:p>
    <w:p w14:paraId="5D0EA1FC">
      <w:pPr>
        <w:ind w:firstLine="480"/>
        <w:rPr>
          <w:rFonts w:hint="eastAsia" w:ascii="Times New Roman" w:hAnsi="Times New Roman" w:eastAsia="宋体"/>
          <w:highlight w:val="yellow"/>
        </w:rPr>
      </w:pPr>
      <w:r>
        <w:rPr>
          <w:rFonts w:hint="eastAsia" w:ascii="Times New Roman" w:hAnsi="Times New Roman" w:eastAsia="宋体"/>
          <w:highlight w:val="yellow"/>
        </w:rPr>
        <w:t>2.给排水管道工程的建设、养护、维修工程的作业现场应当设置明显标志和安全防护设施。</w:t>
      </w:r>
    </w:p>
    <w:p w14:paraId="13BF33FF">
      <w:pPr>
        <w:ind w:firstLine="480"/>
        <w:rPr>
          <w:rFonts w:hint="eastAsia" w:ascii="Times New Roman" w:hAnsi="Times New Roman" w:eastAsia="宋体"/>
          <w:highlight w:val="yellow"/>
        </w:rPr>
      </w:pPr>
      <w:r>
        <w:rPr>
          <w:rFonts w:hint="eastAsia" w:ascii="Times New Roman" w:hAnsi="Times New Roman" w:eastAsia="宋体"/>
          <w:highlight w:val="yellow"/>
        </w:rPr>
        <w:t>3 .给排水管道工程施工前必须对该道路地面下的管线进行详细的摸查，相距现有地下管线较近时，须会同相关单位对现有管线的保护、改线和迁移制定可行的方案。</w:t>
      </w:r>
    </w:p>
    <w:p w14:paraId="5ABD9A61">
      <w:pPr>
        <w:ind w:firstLine="480"/>
        <w:rPr>
          <w:rFonts w:hint="eastAsia" w:ascii="Times New Roman" w:hAnsi="Times New Roman" w:eastAsia="宋体"/>
          <w:highlight w:val="yellow"/>
        </w:rPr>
      </w:pPr>
      <w:r>
        <w:rPr>
          <w:rFonts w:hint="eastAsia" w:ascii="Times New Roman" w:hAnsi="Times New Roman" w:eastAsia="宋体"/>
          <w:highlight w:val="yellow"/>
        </w:rPr>
        <w:t>4.给排水管道敷设位置与房屋建筑距离较近时，应对房屋建筑进行鉴定，根据所需做好房屋支护，确保安全方可开挖施工。</w:t>
      </w:r>
    </w:p>
    <w:p w14:paraId="67B38AE3">
      <w:pPr>
        <w:ind w:firstLine="480"/>
        <w:rPr>
          <w:rFonts w:hint="eastAsia" w:ascii="Times New Roman" w:hAnsi="Times New Roman" w:eastAsia="宋体"/>
          <w:highlight w:val="yellow"/>
        </w:rPr>
      </w:pPr>
      <w:r>
        <w:rPr>
          <w:rFonts w:hint="eastAsia" w:ascii="Times New Roman" w:hAnsi="Times New Roman" w:eastAsia="宋体"/>
          <w:highlight w:val="yellow"/>
        </w:rPr>
        <w:t>5.给排水管道工程施工期间应合理安排注意临时导水和排水设施，确保施工期间排水顺畅。</w:t>
      </w:r>
    </w:p>
    <w:p w14:paraId="122E556B">
      <w:pPr>
        <w:ind w:firstLine="480"/>
        <w:rPr>
          <w:rFonts w:hint="eastAsia" w:ascii="Times New Roman" w:hAnsi="Times New Roman" w:eastAsia="宋体"/>
          <w:highlight w:val="yellow"/>
        </w:rPr>
      </w:pPr>
      <w:r>
        <w:rPr>
          <w:rFonts w:hint="eastAsia" w:ascii="Times New Roman" w:hAnsi="Times New Roman" w:eastAsia="宋体"/>
          <w:highlight w:val="yellow"/>
        </w:rPr>
        <w:t>6.给排水构筑物内的孔洞，应加设盖板或临时栏杆，防止人、物坠落。</w:t>
      </w:r>
    </w:p>
    <w:p w14:paraId="445CF4D7">
      <w:pPr>
        <w:ind w:firstLine="480"/>
        <w:rPr>
          <w:rFonts w:hint="eastAsia" w:ascii="Times New Roman" w:hAnsi="Times New Roman" w:eastAsia="宋体"/>
          <w:highlight w:val="yellow"/>
        </w:rPr>
      </w:pPr>
      <w:r>
        <w:rPr>
          <w:rFonts w:hint="eastAsia" w:ascii="Times New Roman" w:hAnsi="Times New Roman" w:eastAsia="宋体"/>
          <w:highlight w:val="yellow"/>
        </w:rPr>
        <w:t>7.检查井内易产生和积累有毒有害气体，下检查井清淤时应按照相关规范的要求执行，通风充分，在确保安全的情况下人员才能下去。</w:t>
      </w:r>
    </w:p>
    <w:p w14:paraId="6578AF4F">
      <w:pPr>
        <w:ind w:firstLine="480"/>
        <w:rPr>
          <w:rFonts w:hint="eastAsia" w:ascii="Times New Roman" w:hAnsi="Times New Roman" w:eastAsia="宋体"/>
          <w:highlight w:val="yellow"/>
        </w:rPr>
      </w:pPr>
      <w:r>
        <w:rPr>
          <w:rFonts w:hint="eastAsia" w:ascii="Times New Roman" w:hAnsi="Times New Roman" w:eastAsia="宋体"/>
          <w:highlight w:val="yellow"/>
        </w:rPr>
        <w:t>8.污水、雨污水合流管道及湿陷土、膨胀土、流砂地区的雨水管道，必须经严密性试验合格后方可投入运行。</w:t>
      </w:r>
    </w:p>
    <w:p w14:paraId="29AF2928">
      <w:pPr>
        <w:ind w:firstLine="480"/>
        <w:rPr>
          <w:rFonts w:hint="eastAsia" w:ascii="Times New Roman" w:hAnsi="Times New Roman" w:eastAsia="宋体"/>
          <w:highlight w:val="yellow"/>
        </w:rPr>
      </w:pPr>
      <w:r>
        <w:rPr>
          <w:rFonts w:hint="eastAsia" w:ascii="Times New Roman" w:hAnsi="Times New Roman" w:eastAsia="宋体"/>
          <w:highlight w:val="yellow"/>
        </w:rPr>
        <w:t>9.给排水管道的维护安全作业应严格按照《城镇供水管网运行、维护及安全技术规程》和《城镇排水管道维护安全技术规程》的要求执行。</w:t>
      </w:r>
    </w:p>
    <w:p w14:paraId="20C814B3">
      <w:pPr>
        <w:ind w:firstLine="480"/>
        <w:rPr>
          <w:rFonts w:hint="eastAsia" w:ascii="Times New Roman" w:hAnsi="Times New Roman" w:eastAsia="宋体"/>
          <w:highlight w:val="yellow"/>
        </w:rPr>
      </w:pPr>
      <w:r>
        <w:rPr>
          <w:rFonts w:hint="eastAsia" w:ascii="Times New Roman" w:hAnsi="Times New Roman" w:eastAsia="宋体"/>
          <w:highlight w:val="yellow"/>
        </w:rPr>
        <w:t>10.管道采用开挖施工时，应严格按设计要求做好支护措施，防止管槽坍塌，确保管槽支护结构及周边的安全、稳定。</w:t>
      </w:r>
    </w:p>
    <w:p w14:paraId="39D937BB">
      <w:pPr>
        <w:ind w:firstLine="480"/>
        <w:rPr>
          <w:rFonts w:hint="eastAsia" w:ascii="Times New Roman" w:hAnsi="Times New Roman" w:eastAsia="宋体"/>
          <w:highlight w:val="yellow"/>
        </w:rPr>
      </w:pPr>
      <w:r>
        <w:rPr>
          <w:rFonts w:hint="eastAsia" w:ascii="Times New Roman" w:hAnsi="Times New Roman" w:eastAsia="宋体"/>
          <w:highlight w:val="yellow"/>
        </w:rPr>
        <w:t>11.管道装卸及堆放时，必须设置防止管道滚动的定位块；在管槽内下管时，所用索具要牢固，管槽内不得有人。</w:t>
      </w:r>
    </w:p>
    <w:p w14:paraId="16C771F2">
      <w:pPr>
        <w:ind w:firstLine="480"/>
        <w:rPr>
          <w:rFonts w:hint="eastAsia" w:ascii="Times New Roman" w:hAnsi="Times New Roman" w:eastAsia="宋体"/>
          <w:highlight w:val="yellow"/>
        </w:rPr>
      </w:pPr>
      <w:r>
        <w:rPr>
          <w:rFonts w:hint="eastAsia" w:ascii="Times New Roman" w:hAnsi="Times New Roman" w:eastAsia="宋体"/>
          <w:highlight w:val="yellow"/>
        </w:rPr>
        <w:t>12. 根据GB50014—20</w:t>
      </w:r>
      <w:r>
        <w:rPr>
          <w:rFonts w:hint="eastAsia" w:ascii="Times New Roman" w:hAnsi="Times New Roman" w:eastAsia="宋体"/>
          <w:highlight w:val="yellow"/>
          <w:lang w:val="en-US" w:eastAsia="zh-CN"/>
        </w:rPr>
        <w:t>21</w:t>
      </w:r>
      <w:r>
        <w:rPr>
          <w:rFonts w:hint="eastAsia" w:ascii="Times New Roman" w:hAnsi="Times New Roman" w:eastAsia="宋体"/>
          <w:highlight w:val="yellow"/>
        </w:rPr>
        <w:t>，污水管道、合流管道与生活给水管道相交时，应敷设在生活给水管道的下面。</w:t>
      </w:r>
    </w:p>
    <w:p w14:paraId="48208F78">
      <w:pPr>
        <w:ind w:firstLine="480"/>
        <w:rPr>
          <w:rFonts w:hint="eastAsia" w:ascii="Times New Roman" w:hAnsi="Times New Roman" w:eastAsia="宋体"/>
          <w:highlight w:val="none"/>
        </w:rPr>
      </w:pPr>
      <w:r>
        <w:rPr>
          <w:rFonts w:hint="eastAsia" w:ascii="Times New Roman" w:hAnsi="Times New Roman" w:eastAsia="宋体"/>
          <w:highlight w:val="yellow"/>
        </w:rPr>
        <w:t>13.其他未尽事宜，应按照相关安全生产的法律、法规执行。</w:t>
      </w:r>
    </w:p>
    <w:p w14:paraId="5F58161E">
      <w:pPr>
        <w:ind w:firstLine="480"/>
        <w:rPr>
          <w:rFonts w:hint="eastAsia"/>
          <w:highlight w:val="none"/>
        </w:rPr>
      </w:pPr>
    </w:p>
    <w:p w14:paraId="05E9C453">
      <w:pPr>
        <w:widowControl/>
        <w:spacing w:line="240" w:lineRule="auto"/>
        <w:ind w:firstLine="0" w:firstLineChars="0"/>
        <w:jc w:val="left"/>
        <w:rPr>
          <w:b/>
          <w:highlight w:val="none"/>
        </w:rPr>
      </w:pPr>
      <w:r>
        <w:rPr>
          <w:b/>
          <w:highlight w:val="none"/>
        </w:rPr>
        <w:br w:type="page"/>
      </w:r>
    </w:p>
    <w:p w14:paraId="7A8D456F">
      <w:pPr>
        <w:ind w:firstLine="482"/>
        <w:rPr>
          <w:b/>
          <w:highlight w:val="none"/>
        </w:rPr>
      </w:pPr>
      <w:r>
        <w:rPr>
          <w:rFonts w:hint="eastAsia"/>
          <w:b/>
          <w:highlight w:val="none"/>
        </w:rPr>
        <w:t>表1  危险性较大的分部分项工程对应部位与环节识别及措施意见一览表</w:t>
      </w:r>
    </w:p>
    <w:tbl>
      <w:tblPr>
        <w:tblStyle w:val="20"/>
        <w:tblW w:w="9077"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2570"/>
        <w:gridCol w:w="1741"/>
        <w:gridCol w:w="2677"/>
        <w:gridCol w:w="2089"/>
      </w:tblGrid>
      <w:tr w14:paraId="7AD225A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18AD9F13">
            <w:pPr>
              <w:adjustRightInd w:val="0"/>
              <w:snapToGrid w:val="0"/>
              <w:spacing w:line="240" w:lineRule="auto"/>
              <w:ind w:firstLine="0" w:firstLineChars="0"/>
              <w:rPr>
                <w:b/>
                <w:bCs/>
                <w:highlight w:val="none"/>
              </w:rPr>
            </w:pPr>
            <w:r>
              <w:rPr>
                <w:rFonts w:hint="eastAsia"/>
                <w:b/>
                <w:bCs/>
                <w:highlight w:val="none"/>
              </w:rPr>
              <w:t>危险性较大的分部分项工程范围</w:t>
            </w:r>
          </w:p>
        </w:tc>
        <w:tc>
          <w:tcPr>
            <w:tcW w:w="1741" w:type="dxa"/>
            <w:vAlign w:val="center"/>
          </w:tcPr>
          <w:p w14:paraId="57BC572B">
            <w:pPr>
              <w:adjustRightInd w:val="0"/>
              <w:snapToGrid w:val="0"/>
              <w:spacing w:line="240" w:lineRule="auto"/>
              <w:ind w:firstLine="0" w:firstLineChars="0"/>
              <w:rPr>
                <w:b/>
                <w:bCs/>
                <w:highlight w:val="none"/>
              </w:rPr>
            </w:pPr>
            <w:r>
              <w:rPr>
                <w:rFonts w:hint="eastAsia"/>
                <w:b/>
                <w:bCs/>
                <w:highlight w:val="none"/>
              </w:rPr>
              <w:t>对应部位与环节</w:t>
            </w:r>
          </w:p>
        </w:tc>
        <w:tc>
          <w:tcPr>
            <w:tcW w:w="2677" w:type="dxa"/>
            <w:vAlign w:val="center"/>
          </w:tcPr>
          <w:p w14:paraId="6F690075">
            <w:pPr>
              <w:adjustRightInd w:val="0"/>
              <w:snapToGrid w:val="0"/>
              <w:spacing w:line="240" w:lineRule="auto"/>
              <w:ind w:firstLine="0" w:firstLineChars="0"/>
              <w:rPr>
                <w:b/>
                <w:bCs/>
                <w:highlight w:val="none"/>
              </w:rPr>
            </w:pPr>
            <w:r>
              <w:rPr>
                <w:rFonts w:hint="eastAsia"/>
                <w:b/>
                <w:bCs/>
                <w:highlight w:val="none"/>
              </w:rPr>
              <w:t>保障工程施工安全的建议</w:t>
            </w:r>
          </w:p>
        </w:tc>
        <w:tc>
          <w:tcPr>
            <w:tcW w:w="2089" w:type="dxa"/>
            <w:vAlign w:val="center"/>
          </w:tcPr>
          <w:p w14:paraId="2A4381AA">
            <w:pPr>
              <w:adjustRightInd w:val="0"/>
              <w:snapToGrid w:val="0"/>
              <w:spacing w:line="240" w:lineRule="auto"/>
              <w:ind w:firstLine="0" w:firstLineChars="0"/>
              <w:rPr>
                <w:b/>
                <w:bCs/>
                <w:highlight w:val="none"/>
              </w:rPr>
            </w:pPr>
            <w:r>
              <w:rPr>
                <w:rFonts w:hint="eastAsia"/>
                <w:b/>
                <w:bCs/>
                <w:highlight w:val="none"/>
              </w:rPr>
              <w:t>保障工程周边环境安全的意见</w:t>
            </w:r>
          </w:p>
        </w:tc>
      </w:tr>
      <w:tr w14:paraId="4DBC45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9077" w:type="dxa"/>
            <w:gridSpan w:val="4"/>
            <w:vAlign w:val="center"/>
          </w:tcPr>
          <w:p w14:paraId="6AFB8222">
            <w:pPr>
              <w:adjustRightInd w:val="0"/>
              <w:snapToGrid w:val="0"/>
              <w:spacing w:line="240" w:lineRule="auto"/>
              <w:ind w:firstLine="0" w:firstLineChars="0"/>
              <w:rPr>
                <w:b/>
                <w:bCs/>
                <w:highlight w:val="none"/>
              </w:rPr>
            </w:pPr>
            <w:r>
              <w:rPr>
                <w:rFonts w:hint="eastAsia"/>
                <w:b/>
                <w:bCs/>
                <w:highlight w:val="none"/>
              </w:rPr>
              <w:t>一</w:t>
            </w:r>
            <w:r>
              <w:rPr>
                <w:b/>
                <w:bCs/>
                <w:highlight w:val="none"/>
              </w:rPr>
              <w:t>、基坑工程</w:t>
            </w:r>
          </w:p>
        </w:tc>
      </w:tr>
      <w:tr w14:paraId="1624B0E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4AD4F90F">
            <w:pPr>
              <w:adjustRightInd w:val="0"/>
              <w:snapToGrid w:val="0"/>
              <w:spacing w:line="240" w:lineRule="auto"/>
              <w:ind w:firstLine="0" w:firstLineChars="0"/>
              <w:rPr>
                <w:b/>
                <w:bCs/>
                <w:highlight w:val="none"/>
              </w:rPr>
            </w:pPr>
            <w:r>
              <w:rPr>
                <w:rFonts w:hint="eastAsia"/>
                <w:highlight w:val="none"/>
              </w:rPr>
              <w:t>（一）开挖深度超过3m（含3m）的基坑（槽）的土方开挖、支护、降水工程。</w:t>
            </w:r>
          </w:p>
        </w:tc>
        <w:tc>
          <w:tcPr>
            <w:tcW w:w="1741" w:type="dxa"/>
            <w:vMerge w:val="restart"/>
            <w:vAlign w:val="center"/>
          </w:tcPr>
          <w:p w14:paraId="6763969A">
            <w:pPr>
              <w:adjustRightInd w:val="0"/>
              <w:snapToGrid w:val="0"/>
              <w:spacing w:line="240" w:lineRule="auto"/>
              <w:ind w:firstLine="0" w:firstLineChars="0"/>
              <w:rPr>
                <w:highlight w:val="none"/>
              </w:rPr>
            </w:pPr>
            <w:r>
              <w:rPr>
                <w:rFonts w:hint="eastAsia"/>
                <w:highlight w:val="none"/>
              </w:rPr>
              <w:t>边坡</w:t>
            </w:r>
            <w:r>
              <w:rPr>
                <w:highlight w:val="none"/>
              </w:rPr>
              <w:t>开挖</w:t>
            </w:r>
          </w:p>
        </w:tc>
        <w:tc>
          <w:tcPr>
            <w:tcW w:w="2677" w:type="dxa"/>
            <w:vMerge w:val="restart"/>
            <w:vAlign w:val="center"/>
          </w:tcPr>
          <w:p w14:paraId="72959032">
            <w:pPr>
              <w:adjustRightInd w:val="0"/>
              <w:snapToGrid w:val="0"/>
              <w:spacing w:line="240" w:lineRule="auto"/>
              <w:ind w:firstLine="0" w:firstLineChars="0"/>
              <w:rPr>
                <w:highlight w:val="none"/>
              </w:rPr>
            </w:pPr>
            <w:r>
              <w:rPr>
                <w:rFonts w:hint="eastAsia"/>
                <w:highlight w:val="none"/>
              </w:rPr>
              <w:t>1、详见共性意见：</w:t>
            </w:r>
          </w:p>
          <w:p w14:paraId="6EC9D0D6">
            <w:pPr>
              <w:adjustRightInd w:val="0"/>
              <w:snapToGrid w:val="0"/>
              <w:spacing w:line="240" w:lineRule="auto"/>
              <w:ind w:firstLine="0" w:firstLineChars="0"/>
              <w:rPr>
                <w:highlight w:val="none"/>
              </w:rPr>
            </w:pPr>
            <w:r>
              <w:rPr>
                <w:rFonts w:hint="eastAsia"/>
                <w:highlight w:val="none"/>
              </w:rPr>
              <w:t>2、施工单位应收集既有道路的设计图纸、竣工文件及相关资料，了解既有道路的交通组织型式等。</w:t>
            </w:r>
          </w:p>
          <w:p w14:paraId="4F5D998D">
            <w:pPr>
              <w:adjustRightInd w:val="0"/>
              <w:snapToGrid w:val="0"/>
              <w:spacing w:line="240" w:lineRule="auto"/>
              <w:ind w:firstLine="0" w:firstLineChars="0"/>
              <w:rPr>
                <w:highlight w:val="none"/>
              </w:rPr>
            </w:pPr>
            <w:r>
              <w:rPr>
                <w:rFonts w:hint="eastAsia"/>
                <w:highlight w:val="none"/>
              </w:rPr>
              <w:t>3、应对现场地形现场管线及周边构筑物进行核查，应保证起重吊装设备自身安全；</w:t>
            </w:r>
          </w:p>
          <w:p w14:paraId="54D8A125">
            <w:pPr>
              <w:adjustRightInd w:val="0"/>
              <w:snapToGrid w:val="0"/>
              <w:spacing w:line="240" w:lineRule="auto"/>
              <w:ind w:firstLine="0" w:firstLineChars="0"/>
              <w:rPr>
                <w:highlight w:val="none"/>
              </w:rPr>
            </w:pPr>
            <w:r>
              <w:rPr>
                <w:rFonts w:hint="eastAsia"/>
                <w:highlight w:val="none"/>
              </w:rPr>
              <w:t>4、开挖设备及操作人员应符合国家及地方相关规范和法规要求。</w:t>
            </w:r>
          </w:p>
          <w:p w14:paraId="15AAEA00">
            <w:pPr>
              <w:adjustRightInd w:val="0"/>
              <w:snapToGrid w:val="0"/>
              <w:spacing w:line="240" w:lineRule="auto"/>
              <w:ind w:firstLine="0" w:firstLineChars="0"/>
              <w:rPr>
                <w:highlight w:val="none"/>
              </w:rPr>
            </w:pPr>
          </w:p>
        </w:tc>
        <w:tc>
          <w:tcPr>
            <w:tcW w:w="2089" w:type="dxa"/>
            <w:vMerge w:val="restart"/>
            <w:vAlign w:val="center"/>
          </w:tcPr>
          <w:p w14:paraId="58DFC882">
            <w:pPr>
              <w:adjustRightInd w:val="0"/>
              <w:snapToGrid w:val="0"/>
              <w:spacing w:line="240" w:lineRule="auto"/>
              <w:ind w:firstLine="0" w:firstLineChars="0"/>
              <w:rPr>
                <w:highlight w:val="none"/>
              </w:rPr>
            </w:pPr>
            <w:r>
              <w:rPr>
                <w:rFonts w:hint="eastAsia"/>
                <w:highlight w:val="none"/>
              </w:rPr>
              <w:t>1、详见共性意见：</w:t>
            </w:r>
          </w:p>
          <w:p w14:paraId="1C1BFA25">
            <w:pPr>
              <w:adjustRightInd w:val="0"/>
              <w:snapToGrid w:val="0"/>
              <w:spacing w:line="240" w:lineRule="auto"/>
              <w:ind w:firstLine="0" w:firstLineChars="0"/>
              <w:rPr>
                <w:highlight w:val="none"/>
              </w:rPr>
            </w:pPr>
            <w:r>
              <w:rPr>
                <w:rFonts w:hint="eastAsia"/>
                <w:highlight w:val="none"/>
              </w:rPr>
              <w:t>2、开挖工程应考虑周边交通通行影响，提前做好交通组织及标识，必要时进行交通管制；</w:t>
            </w:r>
          </w:p>
          <w:p w14:paraId="78582BE3">
            <w:pPr>
              <w:adjustRightInd w:val="0"/>
              <w:snapToGrid w:val="0"/>
              <w:spacing w:line="240" w:lineRule="auto"/>
              <w:ind w:firstLine="0" w:firstLineChars="0"/>
              <w:rPr>
                <w:highlight w:val="none"/>
              </w:rPr>
            </w:pPr>
            <w:r>
              <w:rPr>
                <w:rFonts w:hint="eastAsia"/>
                <w:highlight w:val="none"/>
              </w:rPr>
              <w:t>3、开挖工程前，应设立围栏、警告牌等有效保护措施以保障现场施工安全；</w:t>
            </w:r>
          </w:p>
          <w:p w14:paraId="6998AA7C">
            <w:pPr>
              <w:adjustRightInd w:val="0"/>
              <w:snapToGrid w:val="0"/>
              <w:spacing w:line="240" w:lineRule="auto"/>
              <w:ind w:firstLine="0" w:firstLineChars="0"/>
              <w:rPr>
                <w:highlight w:val="none"/>
              </w:rPr>
            </w:pPr>
            <w:r>
              <w:rPr>
                <w:rFonts w:hint="eastAsia"/>
                <w:highlight w:val="none"/>
              </w:rPr>
              <w:t>4、开挖工程应考虑对周边各类管线、构筑物影响，应对道路地下管线和隐蔽物等的位置、尺寸进行调查，并应采取保护、避让及处理措施；</w:t>
            </w:r>
          </w:p>
          <w:p w14:paraId="20D13D2D">
            <w:pPr>
              <w:adjustRightInd w:val="0"/>
              <w:snapToGrid w:val="0"/>
              <w:spacing w:line="240" w:lineRule="auto"/>
              <w:ind w:firstLine="0" w:firstLineChars="0"/>
              <w:rPr>
                <w:highlight w:val="none"/>
              </w:rPr>
            </w:pPr>
            <w:r>
              <w:rPr>
                <w:rFonts w:hint="eastAsia"/>
                <w:highlight w:val="none"/>
              </w:rPr>
              <w:t>5、开挖工程应采用有效降尘、降噪措施，减小对周边环境影响。</w:t>
            </w:r>
          </w:p>
        </w:tc>
      </w:tr>
      <w:tr w14:paraId="7B36379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18A45C2D">
            <w:pPr>
              <w:adjustRightInd w:val="0"/>
              <w:snapToGrid w:val="0"/>
              <w:spacing w:line="240" w:lineRule="auto"/>
              <w:ind w:firstLine="0" w:firstLineChars="0"/>
              <w:rPr>
                <w:highlight w:val="none"/>
              </w:rPr>
            </w:pPr>
            <w:r>
              <w:rPr>
                <w:rFonts w:hint="eastAsia"/>
                <w:highlight w:val="none"/>
              </w:rPr>
              <w:t>（二</w:t>
            </w:r>
            <w:r>
              <w:rPr>
                <w:highlight w:val="none"/>
              </w:rPr>
              <w:t>）</w:t>
            </w:r>
            <w:r>
              <w:rPr>
                <w:rFonts w:hint="eastAsia"/>
                <w:highlight w:val="none"/>
              </w:rPr>
              <w:t>开挖深度虽未超过3m，但地质条件和（或）周边环境条件复杂的基坑（槽）（符合《建筑基坑支护技术规程》DB11/489基坑侧壁安全等级一、二级判断标准）的土方开挖、支护、降水工程。</w:t>
            </w:r>
          </w:p>
        </w:tc>
        <w:tc>
          <w:tcPr>
            <w:tcW w:w="1741" w:type="dxa"/>
            <w:vMerge w:val="continue"/>
            <w:vAlign w:val="center"/>
          </w:tcPr>
          <w:p w14:paraId="7470E949">
            <w:pPr>
              <w:adjustRightInd w:val="0"/>
              <w:snapToGrid w:val="0"/>
              <w:spacing w:line="240" w:lineRule="auto"/>
              <w:ind w:firstLine="0" w:firstLineChars="0"/>
              <w:rPr>
                <w:highlight w:val="none"/>
              </w:rPr>
            </w:pPr>
          </w:p>
        </w:tc>
        <w:tc>
          <w:tcPr>
            <w:tcW w:w="2677" w:type="dxa"/>
            <w:vMerge w:val="continue"/>
            <w:vAlign w:val="center"/>
          </w:tcPr>
          <w:p w14:paraId="2AB2858A">
            <w:pPr>
              <w:adjustRightInd w:val="0"/>
              <w:snapToGrid w:val="0"/>
              <w:spacing w:line="240" w:lineRule="auto"/>
              <w:ind w:firstLine="0" w:firstLineChars="0"/>
              <w:rPr>
                <w:highlight w:val="none"/>
              </w:rPr>
            </w:pPr>
          </w:p>
        </w:tc>
        <w:tc>
          <w:tcPr>
            <w:tcW w:w="2089" w:type="dxa"/>
            <w:vMerge w:val="continue"/>
            <w:vAlign w:val="center"/>
          </w:tcPr>
          <w:p w14:paraId="1DB9C7E4">
            <w:pPr>
              <w:adjustRightInd w:val="0"/>
              <w:snapToGrid w:val="0"/>
              <w:spacing w:line="240" w:lineRule="auto"/>
              <w:ind w:firstLine="0" w:firstLineChars="0"/>
              <w:rPr>
                <w:highlight w:val="none"/>
              </w:rPr>
            </w:pPr>
          </w:p>
        </w:tc>
      </w:tr>
      <w:tr w14:paraId="2D9492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9077" w:type="dxa"/>
            <w:gridSpan w:val="4"/>
            <w:vAlign w:val="center"/>
          </w:tcPr>
          <w:p w14:paraId="6A006E4E">
            <w:pPr>
              <w:adjustRightInd w:val="0"/>
              <w:snapToGrid w:val="0"/>
              <w:spacing w:line="240" w:lineRule="auto"/>
              <w:ind w:firstLine="0" w:firstLineChars="0"/>
              <w:rPr>
                <w:highlight w:val="none"/>
              </w:rPr>
            </w:pPr>
            <w:r>
              <w:rPr>
                <w:rFonts w:hint="eastAsia"/>
                <w:b/>
                <w:bCs/>
                <w:highlight w:val="none"/>
              </w:rPr>
              <w:t>二、模板工程及支撑体系</w:t>
            </w:r>
          </w:p>
        </w:tc>
      </w:tr>
      <w:tr w14:paraId="4411AF0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37BDB0B9">
            <w:pPr>
              <w:adjustRightInd w:val="0"/>
              <w:snapToGrid w:val="0"/>
              <w:spacing w:line="240" w:lineRule="auto"/>
              <w:ind w:firstLine="0" w:firstLineChars="0"/>
              <w:rPr>
                <w:highlight w:val="none"/>
              </w:rPr>
            </w:pPr>
            <w:r>
              <w:rPr>
                <w:rFonts w:hint="eastAsia"/>
                <w:highlight w:val="none"/>
              </w:rPr>
              <w:t>（一）各类工具式模板工程：包括滑模、爬模、飞模、隧道模等工程。</w:t>
            </w:r>
          </w:p>
        </w:tc>
        <w:tc>
          <w:tcPr>
            <w:tcW w:w="1741" w:type="dxa"/>
            <w:vMerge w:val="restart"/>
            <w:vAlign w:val="center"/>
          </w:tcPr>
          <w:p w14:paraId="033182C0">
            <w:pPr>
              <w:adjustRightInd w:val="0"/>
              <w:snapToGrid w:val="0"/>
              <w:spacing w:line="240" w:lineRule="auto"/>
              <w:ind w:firstLine="0" w:firstLineChars="0"/>
              <w:rPr>
                <w:highlight w:val="none"/>
              </w:rPr>
            </w:pPr>
            <w:r>
              <w:rPr>
                <w:rFonts w:hint="eastAsia"/>
                <w:highlight w:val="none"/>
              </w:rPr>
              <w:t>模板工程</w:t>
            </w:r>
          </w:p>
        </w:tc>
        <w:tc>
          <w:tcPr>
            <w:tcW w:w="2677" w:type="dxa"/>
            <w:vMerge w:val="restart"/>
            <w:vAlign w:val="center"/>
          </w:tcPr>
          <w:p w14:paraId="1D71B58D">
            <w:pPr>
              <w:adjustRightInd w:val="0"/>
              <w:snapToGrid w:val="0"/>
              <w:spacing w:line="240" w:lineRule="auto"/>
              <w:ind w:firstLine="0" w:firstLineChars="0"/>
              <w:rPr>
                <w:highlight w:val="none"/>
              </w:rPr>
            </w:pPr>
            <w:r>
              <w:rPr>
                <w:rFonts w:hint="eastAsia"/>
                <w:highlight w:val="none"/>
              </w:rPr>
              <w:t>1、详见共性意见：</w:t>
            </w:r>
          </w:p>
          <w:p w14:paraId="2E4EA5BD">
            <w:pPr>
              <w:adjustRightInd w:val="0"/>
              <w:snapToGrid w:val="0"/>
              <w:spacing w:line="240" w:lineRule="auto"/>
              <w:ind w:firstLine="0" w:firstLineChars="0"/>
              <w:rPr>
                <w:highlight w:val="none"/>
              </w:rPr>
            </w:pPr>
            <w:r>
              <w:rPr>
                <w:rFonts w:hint="eastAsia"/>
                <w:highlight w:val="none"/>
              </w:rPr>
              <w:t>2、施工单位应收集既有道路的设计图纸、竣工文件及相关资料，了解既有道路的交通组织型式等。</w:t>
            </w:r>
          </w:p>
          <w:p w14:paraId="1A390107">
            <w:pPr>
              <w:adjustRightInd w:val="0"/>
              <w:snapToGrid w:val="0"/>
              <w:spacing w:line="240" w:lineRule="auto"/>
              <w:ind w:firstLine="0" w:firstLineChars="0"/>
              <w:rPr>
                <w:highlight w:val="none"/>
              </w:rPr>
            </w:pPr>
          </w:p>
        </w:tc>
        <w:tc>
          <w:tcPr>
            <w:tcW w:w="2089" w:type="dxa"/>
            <w:vMerge w:val="restart"/>
            <w:vAlign w:val="center"/>
          </w:tcPr>
          <w:p w14:paraId="17E93A52">
            <w:pPr>
              <w:adjustRightInd w:val="0"/>
              <w:snapToGrid w:val="0"/>
              <w:spacing w:line="240" w:lineRule="auto"/>
              <w:ind w:firstLine="0" w:firstLineChars="0"/>
              <w:rPr>
                <w:highlight w:val="none"/>
              </w:rPr>
            </w:pPr>
            <w:r>
              <w:rPr>
                <w:rFonts w:hint="eastAsia"/>
                <w:highlight w:val="none"/>
              </w:rPr>
              <w:t>1、详见共性意见：</w:t>
            </w:r>
          </w:p>
          <w:p w14:paraId="696F07EB">
            <w:pPr>
              <w:adjustRightInd w:val="0"/>
              <w:snapToGrid w:val="0"/>
              <w:spacing w:line="240" w:lineRule="auto"/>
              <w:ind w:firstLine="0" w:firstLineChars="0"/>
              <w:rPr>
                <w:highlight w:val="none"/>
              </w:rPr>
            </w:pPr>
            <w:r>
              <w:rPr>
                <w:rFonts w:hint="eastAsia"/>
                <w:highlight w:val="none"/>
              </w:rPr>
              <w:t>2、模板工程应考虑周边交通通行影响，提前做好交通组织及标识，必要时进行交通管制；</w:t>
            </w:r>
          </w:p>
          <w:p w14:paraId="638FC20C">
            <w:pPr>
              <w:adjustRightInd w:val="0"/>
              <w:snapToGrid w:val="0"/>
              <w:spacing w:line="240" w:lineRule="auto"/>
              <w:ind w:firstLine="0" w:firstLineChars="0"/>
              <w:rPr>
                <w:highlight w:val="none"/>
              </w:rPr>
            </w:pPr>
            <w:r>
              <w:rPr>
                <w:rFonts w:hint="eastAsia"/>
                <w:highlight w:val="none"/>
              </w:rPr>
              <w:t>3、模板工程前，应设立围栏、警告牌等有效保护措施以保障现场施工安全；</w:t>
            </w:r>
          </w:p>
          <w:p w14:paraId="1D1433FB">
            <w:pPr>
              <w:adjustRightInd w:val="0"/>
              <w:snapToGrid w:val="0"/>
              <w:spacing w:line="240" w:lineRule="auto"/>
              <w:ind w:firstLine="0" w:firstLineChars="0"/>
              <w:rPr>
                <w:highlight w:val="none"/>
              </w:rPr>
            </w:pPr>
            <w:r>
              <w:rPr>
                <w:rFonts w:hint="eastAsia"/>
                <w:highlight w:val="none"/>
              </w:rPr>
              <w:t>4、模板工程应考虑对周边各类管线、构筑物影响，应对道路地下管线和隐蔽物等的位置、尺寸进行调查，并应采取保护、避让及处理措施；</w:t>
            </w:r>
          </w:p>
          <w:p w14:paraId="2B1AF40F">
            <w:pPr>
              <w:adjustRightInd w:val="0"/>
              <w:snapToGrid w:val="0"/>
              <w:spacing w:line="240" w:lineRule="auto"/>
              <w:ind w:firstLine="0" w:firstLineChars="0"/>
              <w:rPr>
                <w:highlight w:val="none"/>
              </w:rPr>
            </w:pPr>
            <w:r>
              <w:rPr>
                <w:rFonts w:hint="eastAsia"/>
                <w:highlight w:val="none"/>
              </w:rPr>
              <w:t>5、模板工程应采用有效降尘、降噪措施，减小对周边环境影响。</w:t>
            </w:r>
          </w:p>
        </w:tc>
      </w:tr>
      <w:tr w14:paraId="0D774C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75756A20">
            <w:pPr>
              <w:adjustRightInd w:val="0"/>
              <w:snapToGrid w:val="0"/>
              <w:spacing w:line="240" w:lineRule="auto"/>
              <w:ind w:firstLine="0" w:firstLineChars="0"/>
              <w:rPr>
                <w:highlight w:val="none"/>
              </w:rPr>
            </w:pPr>
            <w:r>
              <w:rPr>
                <w:rFonts w:hint="eastAsia"/>
                <w:highlight w:val="none"/>
              </w:rPr>
              <w:t>（二）混凝土模板支撑工程：搭设高度5m及以上，或搭设跨度10m及以上，或施工总荷载（荷载效应基本组合的设计值，以下简称设计值）10kN/㎡及以上，或集中线荷载（设计值）15kN/m及以上，或高度大于支撑水平投影宽度且相对独立无联系构件的混凝土模板支撑工程。</w:t>
            </w:r>
          </w:p>
        </w:tc>
        <w:tc>
          <w:tcPr>
            <w:tcW w:w="1741" w:type="dxa"/>
            <w:vMerge w:val="continue"/>
            <w:vAlign w:val="center"/>
          </w:tcPr>
          <w:p w14:paraId="347536C0">
            <w:pPr>
              <w:adjustRightInd w:val="0"/>
              <w:snapToGrid w:val="0"/>
              <w:spacing w:line="240" w:lineRule="auto"/>
              <w:ind w:firstLine="0" w:firstLineChars="0"/>
              <w:rPr>
                <w:highlight w:val="none"/>
              </w:rPr>
            </w:pPr>
          </w:p>
        </w:tc>
        <w:tc>
          <w:tcPr>
            <w:tcW w:w="2677" w:type="dxa"/>
            <w:vMerge w:val="continue"/>
            <w:vAlign w:val="center"/>
          </w:tcPr>
          <w:p w14:paraId="0FC23799">
            <w:pPr>
              <w:adjustRightInd w:val="0"/>
              <w:snapToGrid w:val="0"/>
              <w:spacing w:line="240" w:lineRule="auto"/>
              <w:ind w:firstLine="0" w:firstLineChars="0"/>
              <w:rPr>
                <w:highlight w:val="none"/>
              </w:rPr>
            </w:pPr>
          </w:p>
        </w:tc>
        <w:tc>
          <w:tcPr>
            <w:tcW w:w="2089" w:type="dxa"/>
            <w:vMerge w:val="continue"/>
            <w:vAlign w:val="center"/>
          </w:tcPr>
          <w:p w14:paraId="28DBA5E0">
            <w:pPr>
              <w:adjustRightInd w:val="0"/>
              <w:snapToGrid w:val="0"/>
              <w:spacing w:line="240" w:lineRule="auto"/>
              <w:ind w:firstLine="0" w:firstLineChars="0"/>
              <w:rPr>
                <w:highlight w:val="none"/>
              </w:rPr>
            </w:pPr>
          </w:p>
        </w:tc>
      </w:tr>
      <w:tr w14:paraId="1B7AC9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34B25754">
            <w:pPr>
              <w:adjustRightInd w:val="0"/>
              <w:snapToGrid w:val="0"/>
              <w:spacing w:line="240" w:lineRule="auto"/>
              <w:ind w:firstLine="0" w:firstLineChars="0"/>
              <w:rPr>
                <w:highlight w:val="none"/>
              </w:rPr>
            </w:pPr>
            <w:r>
              <w:rPr>
                <w:rFonts w:hint="eastAsia"/>
                <w:highlight w:val="none"/>
              </w:rPr>
              <w:t>（三）承重支撑体系：用于钢结构安装等满堂支撑体系。</w:t>
            </w:r>
          </w:p>
        </w:tc>
        <w:tc>
          <w:tcPr>
            <w:tcW w:w="1741" w:type="dxa"/>
            <w:vMerge w:val="continue"/>
            <w:vAlign w:val="center"/>
          </w:tcPr>
          <w:p w14:paraId="38CD0A75">
            <w:pPr>
              <w:adjustRightInd w:val="0"/>
              <w:snapToGrid w:val="0"/>
              <w:spacing w:line="240" w:lineRule="auto"/>
              <w:ind w:firstLine="0" w:firstLineChars="0"/>
              <w:rPr>
                <w:highlight w:val="none"/>
              </w:rPr>
            </w:pPr>
          </w:p>
        </w:tc>
        <w:tc>
          <w:tcPr>
            <w:tcW w:w="2677" w:type="dxa"/>
            <w:vMerge w:val="continue"/>
            <w:vAlign w:val="center"/>
          </w:tcPr>
          <w:p w14:paraId="2D16F549">
            <w:pPr>
              <w:adjustRightInd w:val="0"/>
              <w:snapToGrid w:val="0"/>
              <w:spacing w:line="240" w:lineRule="auto"/>
              <w:ind w:firstLine="0" w:firstLineChars="0"/>
              <w:rPr>
                <w:highlight w:val="none"/>
              </w:rPr>
            </w:pPr>
          </w:p>
        </w:tc>
        <w:tc>
          <w:tcPr>
            <w:tcW w:w="2089" w:type="dxa"/>
            <w:vMerge w:val="continue"/>
            <w:vAlign w:val="center"/>
          </w:tcPr>
          <w:p w14:paraId="64CCAFA2">
            <w:pPr>
              <w:adjustRightInd w:val="0"/>
              <w:snapToGrid w:val="0"/>
              <w:spacing w:line="240" w:lineRule="auto"/>
              <w:ind w:firstLine="0" w:firstLineChars="0"/>
              <w:rPr>
                <w:highlight w:val="none"/>
              </w:rPr>
            </w:pPr>
          </w:p>
        </w:tc>
      </w:tr>
      <w:tr w14:paraId="7595295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9077" w:type="dxa"/>
            <w:gridSpan w:val="4"/>
            <w:vAlign w:val="center"/>
          </w:tcPr>
          <w:p w14:paraId="50A21890">
            <w:pPr>
              <w:adjustRightInd w:val="0"/>
              <w:snapToGrid w:val="0"/>
              <w:spacing w:line="240" w:lineRule="auto"/>
              <w:ind w:firstLine="0" w:firstLineChars="0"/>
              <w:rPr>
                <w:b/>
                <w:bCs/>
                <w:highlight w:val="none"/>
              </w:rPr>
            </w:pPr>
            <w:r>
              <w:rPr>
                <w:rFonts w:hint="eastAsia"/>
                <w:b/>
                <w:bCs/>
                <w:highlight w:val="none"/>
              </w:rPr>
              <w:t>三、起重吊装及起重机械安装拆卸工程</w:t>
            </w:r>
          </w:p>
        </w:tc>
      </w:tr>
      <w:tr w14:paraId="1ABCBB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1845" w:hRule="atLeast"/>
          <w:jc w:val="center"/>
        </w:trPr>
        <w:tc>
          <w:tcPr>
            <w:tcW w:w="2570" w:type="dxa"/>
            <w:tcBorders>
              <w:bottom w:val="single" w:color="000000" w:sz="6" w:space="0"/>
            </w:tcBorders>
            <w:vAlign w:val="center"/>
          </w:tcPr>
          <w:p w14:paraId="76611247">
            <w:pPr>
              <w:adjustRightInd w:val="0"/>
              <w:snapToGrid w:val="0"/>
              <w:spacing w:line="240" w:lineRule="auto"/>
              <w:ind w:firstLine="0" w:firstLineChars="0"/>
              <w:rPr>
                <w:highlight w:val="none"/>
              </w:rPr>
            </w:pPr>
            <w:r>
              <w:rPr>
                <w:rFonts w:hint="eastAsia"/>
                <w:highlight w:val="none"/>
              </w:rPr>
              <w:t>（一）采用非常规起重设备、方法，且单件起吊重量在10kN及以上的起重吊装工程</w:t>
            </w:r>
          </w:p>
        </w:tc>
        <w:tc>
          <w:tcPr>
            <w:tcW w:w="1741" w:type="dxa"/>
            <w:vMerge w:val="restart"/>
            <w:tcBorders>
              <w:bottom w:val="single" w:color="000000" w:sz="6" w:space="0"/>
            </w:tcBorders>
            <w:vAlign w:val="center"/>
          </w:tcPr>
          <w:p w14:paraId="050715DF">
            <w:pPr>
              <w:adjustRightInd w:val="0"/>
              <w:snapToGrid w:val="0"/>
              <w:spacing w:line="240" w:lineRule="auto"/>
              <w:ind w:firstLine="0" w:firstLineChars="0"/>
              <w:rPr>
                <w:highlight w:val="none"/>
              </w:rPr>
            </w:pPr>
            <w:r>
              <w:rPr>
                <w:rFonts w:hint="eastAsia"/>
                <w:highlight w:val="none"/>
              </w:rPr>
              <w:t>边坡防护</w:t>
            </w:r>
          </w:p>
        </w:tc>
        <w:tc>
          <w:tcPr>
            <w:tcW w:w="2677" w:type="dxa"/>
            <w:vMerge w:val="restart"/>
            <w:tcBorders>
              <w:bottom w:val="single" w:color="000000" w:sz="6" w:space="0"/>
            </w:tcBorders>
            <w:vAlign w:val="center"/>
          </w:tcPr>
          <w:p w14:paraId="7BDECB06">
            <w:pPr>
              <w:adjustRightInd w:val="0"/>
              <w:snapToGrid w:val="0"/>
              <w:spacing w:line="240" w:lineRule="auto"/>
              <w:ind w:firstLine="0" w:firstLineChars="0"/>
              <w:rPr>
                <w:highlight w:val="none"/>
              </w:rPr>
            </w:pPr>
            <w:r>
              <w:rPr>
                <w:rFonts w:hint="eastAsia"/>
                <w:highlight w:val="none"/>
              </w:rPr>
              <w:t>1、详见共性意见：</w:t>
            </w:r>
          </w:p>
          <w:p w14:paraId="2D1F9C2B">
            <w:pPr>
              <w:adjustRightInd w:val="0"/>
              <w:snapToGrid w:val="0"/>
              <w:spacing w:line="240" w:lineRule="auto"/>
              <w:ind w:firstLine="0" w:firstLineChars="0"/>
              <w:rPr>
                <w:highlight w:val="none"/>
              </w:rPr>
            </w:pPr>
            <w:r>
              <w:rPr>
                <w:rFonts w:hint="eastAsia"/>
                <w:highlight w:val="none"/>
              </w:rPr>
              <w:t>2、施工单位应了解被吊构件各项参数，选择适宜的起重设备；</w:t>
            </w:r>
          </w:p>
          <w:p w14:paraId="30B6E22F">
            <w:pPr>
              <w:adjustRightInd w:val="0"/>
              <w:snapToGrid w:val="0"/>
              <w:spacing w:line="240" w:lineRule="auto"/>
              <w:ind w:firstLine="0" w:firstLineChars="0"/>
              <w:rPr>
                <w:highlight w:val="none"/>
              </w:rPr>
            </w:pPr>
            <w:r>
              <w:rPr>
                <w:rFonts w:hint="eastAsia"/>
                <w:highlight w:val="none"/>
              </w:rPr>
              <w:t>3、应对现场地形现场管线及周边构筑物进行核查，应保证起重吊装设备自身安全；</w:t>
            </w:r>
          </w:p>
          <w:p w14:paraId="730FE044">
            <w:pPr>
              <w:adjustRightInd w:val="0"/>
              <w:snapToGrid w:val="0"/>
              <w:spacing w:line="240" w:lineRule="auto"/>
              <w:ind w:firstLine="0" w:firstLineChars="0"/>
              <w:rPr>
                <w:highlight w:val="none"/>
              </w:rPr>
            </w:pPr>
            <w:r>
              <w:rPr>
                <w:rFonts w:hint="eastAsia"/>
                <w:highlight w:val="none"/>
              </w:rPr>
              <w:t>4、起重设备及操作人员应符合国家及地方相关规范和法规要求。</w:t>
            </w:r>
          </w:p>
          <w:p w14:paraId="431B7D93">
            <w:pPr>
              <w:adjustRightInd w:val="0"/>
              <w:snapToGrid w:val="0"/>
              <w:spacing w:line="240" w:lineRule="auto"/>
              <w:ind w:firstLine="0" w:firstLineChars="0"/>
              <w:rPr>
                <w:highlight w:val="none"/>
              </w:rPr>
            </w:pPr>
          </w:p>
          <w:p w14:paraId="10AD4766">
            <w:pPr>
              <w:adjustRightInd w:val="0"/>
              <w:snapToGrid w:val="0"/>
              <w:spacing w:line="240" w:lineRule="auto"/>
              <w:ind w:firstLine="0" w:firstLineChars="0"/>
              <w:rPr>
                <w:highlight w:val="none"/>
              </w:rPr>
            </w:pPr>
          </w:p>
        </w:tc>
        <w:tc>
          <w:tcPr>
            <w:tcW w:w="2089" w:type="dxa"/>
            <w:vMerge w:val="restart"/>
            <w:tcBorders>
              <w:bottom w:val="single" w:color="000000" w:sz="6" w:space="0"/>
            </w:tcBorders>
            <w:vAlign w:val="center"/>
          </w:tcPr>
          <w:p w14:paraId="6298C31C">
            <w:pPr>
              <w:adjustRightInd w:val="0"/>
              <w:snapToGrid w:val="0"/>
              <w:spacing w:line="240" w:lineRule="auto"/>
              <w:ind w:firstLine="0" w:firstLineChars="0"/>
              <w:rPr>
                <w:highlight w:val="none"/>
              </w:rPr>
            </w:pPr>
            <w:r>
              <w:rPr>
                <w:rFonts w:hint="eastAsia"/>
                <w:highlight w:val="none"/>
              </w:rPr>
              <w:t>1、详见共性意见：</w:t>
            </w:r>
          </w:p>
          <w:p w14:paraId="1981E5B6">
            <w:pPr>
              <w:adjustRightInd w:val="0"/>
              <w:snapToGrid w:val="0"/>
              <w:spacing w:line="240" w:lineRule="auto"/>
              <w:ind w:firstLine="0" w:firstLineChars="0"/>
              <w:rPr>
                <w:highlight w:val="none"/>
              </w:rPr>
            </w:pPr>
            <w:r>
              <w:rPr>
                <w:rFonts w:hint="eastAsia"/>
                <w:highlight w:val="none"/>
              </w:rPr>
              <w:t>2、起重吊装考虑对周边交通通行的影响；</w:t>
            </w:r>
          </w:p>
          <w:p w14:paraId="2756371C">
            <w:pPr>
              <w:adjustRightInd w:val="0"/>
              <w:snapToGrid w:val="0"/>
              <w:spacing w:line="240" w:lineRule="auto"/>
              <w:ind w:firstLine="0" w:firstLineChars="0"/>
              <w:rPr>
                <w:highlight w:val="none"/>
              </w:rPr>
            </w:pPr>
            <w:r>
              <w:rPr>
                <w:rFonts w:hint="eastAsia"/>
                <w:highlight w:val="none"/>
              </w:rPr>
              <w:t>3、起重吊装承重点不得影响地下管线及构筑物等；</w:t>
            </w:r>
          </w:p>
          <w:p w14:paraId="318CE54B">
            <w:pPr>
              <w:adjustRightInd w:val="0"/>
              <w:snapToGrid w:val="0"/>
              <w:spacing w:line="240" w:lineRule="auto"/>
              <w:ind w:firstLine="0" w:firstLineChars="0"/>
              <w:rPr>
                <w:highlight w:val="none"/>
              </w:rPr>
            </w:pPr>
            <w:r>
              <w:rPr>
                <w:rFonts w:hint="eastAsia"/>
                <w:highlight w:val="none"/>
              </w:rPr>
              <w:t>4、吊装作业时，严格控制吊车回转半径，避免触及周围建筑物或高压线；</w:t>
            </w:r>
          </w:p>
          <w:p w14:paraId="054549F6">
            <w:pPr>
              <w:adjustRightInd w:val="0"/>
              <w:snapToGrid w:val="0"/>
              <w:spacing w:line="240" w:lineRule="auto"/>
              <w:ind w:firstLine="0" w:firstLineChars="0"/>
              <w:rPr>
                <w:highlight w:val="none"/>
              </w:rPr>
            </w:pPr>
            <w:r>
              <w:rPr>
                <w:rFonts w:hint="eastAsia"/>
                <w:highlight w:val="none"/>
              </w:rPr>
              <w:t>5、起重吊装中应采取切实可行的措施对风险进行控制，避免机械伤害、高处坠落、物体打击、触电、坍塌、车船撞击、施工设备事故等风险事件发生。</w:t>
            </w:r>
          </w:p>
          <w:p w14:paraId="4E33226E">
            <w:pPr>
              <w:adjustRightInd w:val="0"/>
              <w:snapToGrid w:val="0"/>
              <w:spacing w:line="240" w:lineRule="auto"/>
              <w:ind w:firstLine="0" w:firstLineChars="0"/>
              <w:rPr>
                <w:highlight w:val="none"/>
              </w:rPr>
            </w:pPr>
          </w:p>
        </w:tc>
      </w:tr>
      <w:tr w14:paraId="0F65C44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556EA919">
            <w:pPr>
              <w:adjustRightInd w:val="0"/>
              <w:snapToGrid w:val="0"/>
              <w:spacing w:line="240" w:lineRule="auto"/>
              <w:ind w:firstLine="0" w:firstLineChars="0"/>
              <w:rPr>
                <w:highlight w:val="none"/>
              </w:rPr>
            </w:pPr>
            <w:r>
              <w:rPr>
                <w:rFonts w:hint="eastAsia"/>
                <w:highlight w:val="none"/>
              </w:rPr>
              <w:t>（二）采用起重机械进行安装的工程</w:t>
            </w:r>
          </w:p>
        </w:tc>
        <w:tc>
          <w:tcPr>
            <w:tcW w:w="1741" w:type="dxa"/>
            <w:vMerge w:val="continue"/>
            <w:vAlign w:val="center"/>
          </w:tcPr>
          <w:p w14:paraId="115A0AE3">
            <w:pPr>
              <w:adjustRightInd w:val="0"/>
              <w:snapToGrid w:val="0"/>
              <w:spacing w:line="240" w:lineRule="auto"/>
              <w:ind w:firstLine="0" w:firstLineChars="0"/>
              <w:rPr>
                <w:highlight w:val="none"/>
              </w:rPr>
            </w:pPr>
          </w:p>
        </w:tc>
        <w:tc>
          <w:tcPr>
            <w:tcW w:w="2677" w:type="dxa"/>
            <w:vMerge w:val="continue"/>
            <w:vAlign w:val="center"/>
          </w:tcPr>
          <w:p w14:paraId="46606208">
            <w:pPr>
              <w:adjustRightInd w:val="0"/>
              <w:snapToGrid w:val="0"/>
              <w:spacing w:line="240" w:lineRule="auto"/>
              <w:ind w:firstLine="0" w:firstLineChars="0"/>
              <w:rPr>
                <w:highlight w:val="none"/>
              </w:rPr>
            </w:pPr>
          </w:p>
        </w:tc>
        <w:tc>
          <w:tcPr>
            <w:tcW w:w="2089" w:type="dxa"/>
            <w:vMerge w:val="continue"/>
            <w:vAlign w:val="center"/>
          </w:tcPr>
          <w:p w14:paraId="7A9DB641">
            <w:pPr>
              <w:adjustRightInd w:val="0"/>
              <w:snapToGrid w:val="0"/>
              <w:spacing w:line="240" w:lineRule="auto"/>
              <w:ind w:firstLine="0" w:firstLineChars="0"/>
              <w:rPr>
                <w:highlight w:val="none"/>
              </w:rPr>
            </w:pPr>
          </w:p>
        </w:tc>
      </w:tr>
      <w:tr w14:paraId="1E5998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4E281B48">
            <w:pPr>
              <w:adjustRightInd w:val="0"/>
              <w:snapToGrid w:val="0"/>
              <w:spacing w:line="240" w:lineRule="auto"/>
              <w:ind w:firstLine="0" w:firstLineChars="0"/>
              <w:rPr>
                <w:highlight w:val="none"/>
              </w:rPr>
            </w:pPr>
            <w:r>
              <w:rPr>
                <w:rFonts w:hint="eastAsia"/>
                <w:highlight w:val="none"/>
              </w:rPr>
              <w:t>（三）起重机械安装和拆卸工程</w:t>
            </w:r>
          </w:p>
        </w:tc>
        <w:tc>
          <w:tcPr>
            <w:tcW w:w="1741" w:type="dxa"/>
            <w:vMerge w:val="continue"/>
            <w:vAlign w:val="center"/>
          </w:tcPr>
          <w:p w14:paraId="73AB6F2C">
            <w:pPr>
              <w:adjustRightInd w:val="0"/>
              <w:snapToGrid w:val="0"/>
              <w:spacing w:line="240" w:lineRule="auto"/>
              <w:ind w:firstLine="0" w:firstLineChars="0"/>
              <w:rPr>
                <w:highlight w:val="none"/>
              </w:rPr>
            </w:pPr>
          </w:p>
        </w:tc>
        <w:tc>
          <w:tcPr>
            <w:tcW w:w="2677" w:type="dxa"/>
            <w:vMerge w:val="continue"/>
            <w:vAlign w:val="center"/>
          </w:tcPr>
          <w:p w14:paraId="12D4D8E8">
            <w:pPr>
              <w:adjustRightInd w:val="0"/>
              <w:snapToGrid w:val="0"/>
              <w:spacing w:line="240" w:lineRule="auto"/>
              <w:ind w:firstLine="0" w:firstLineChars="0"/>
              <w:rPr>
                <w:highlight w:val="none"/>
              </w:rPr>
            </w:pPr>
          </w:p>
        </w:tc>
        <w:tc>
          <w:tcPr>
            <w:tcW w:w="2089" w:type="dxa"/>
            <w:vMerge w:val="restart"/>
            <w:vAlign w:val="center"/>
          </w:tcPr>
          <w:p w14:paraId="0A9201BE">
            <w:pPr>
              <w:adjustRightInd w:val="0"/>
              <w:snapToGrid w:val="0"/>
              <w:spacing w:line="240" w:lineRule="auto"/>
              <w:ind w:firstLine="0" w:firstLineChars="0"/>
              <w:rPr>
                <w:highlight w:val="none"/>
              </w:rPr>
            </w:pPr>
          </w:p>
        </w:tc>
      </w:tr>
      <w:tr w14:paraId="521F37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600" w:hRule="atLeast"/>
          <w:jc w:val="center"/>
        </w:trPr>
        <w:tc>
          <w:tcPr>
            <w:tcW w:w="2570" w:type="dxa"/>
            <w:vAlign w:val="center"/>
          </w:tcPr>
          <w:p w14:paraId="6E2D4BF3">
            <w:pPr>
              <w:adjustRightInd w:val="0"/>
              <w:snapToGrid w:val="0"/>
              <w:spacing w:line="240" w:lineRule="auto"/>
              <w:ind w:firstLine="0" w:firstLineChars="0"/>
              <w:rPr>
                <w:highlight w:val="none"/>
              </w:rPr>
            </w:pPr>
            <w:r>
              <w:rPr>
                <w:rFonts w:hint="eastAsia"/>
                <w:highlight w:val="none"/>
              </w:rPr>
              <w:t>（四）施工现场2台（或以上）起重机械存在相互干扰的多台多机种作业工程。</w:t>
            </w:r>
          </w:p>
        </w:tc>
        <w:tc>
          <w:tcPr>
            <w:tcW w:w="1741" w:type="dxa"/>
            <w:vMerge w:val="continue"/>
            <w:vAlign w:val="center"/>
          </w:tcPr>
          <w:p w14:paraId="5AC7AB0D">
            <w:pPr>
              <w:adjustRightInd w:val="0"/>
              <w:snapToGrid w:val="0"/>
              <w:spacing w:line="240" w:lineRule="auto"/>
              <w:ind w:firstLine="0" w:firstLineChars="0"/>
              <w:rPr>
                <w:highlight w:val="none"/>
              </w:rPr>
            </w:pPr>
          </w:p>
        </w:tc>
        <w:tc>
          <w:tcPr>
            <w:tcW w:w="2677" w:type="dxa"/>
            <w:vMerge w:val="continue"/>
            <w:vAlign w:val="center"/>
          </w:tcPr>
          <w:p w14:paraId="38FA02A4">
            <w:pPr>
              <w:adjustRightInd w:val="0"/>
              <w:snapToGrid w:val="0"/>
              <w:spacing w:line="240" w:lineRule="auto"/>
              <w:ind w:firstLine="0" w:firstLineChars="0"/>
              <w:rPr>
                <w:highlight w:val="none"/>
              </w:rPr>
            </w:pPr>
          </w:p>
        </w:tc>
        <w:tc>
          <w:tcPr>
            <w:tcW w:w="2089" w:type="dxa"/>
            <w:vMerge w:val="continue"/>
            <w:vAlign w:val="center"/>
          </w:tcPr>
          <w:p w14:paraId="6A441D26">
            <w:pPr>
              <w:adjustRightInd w:val="0"/>
              <w:snapToGrid w:val="0"/>
              <w:spacing w:line="240" w:lineRule="auto"/>
              <w:ind w:firstLine="0" w:firstLineChars="0"/>
              <w:rPr>
                <w:highlight w:val="none"/>
              </w:rPr>
            </w:pPr>
          </w:p>
        </w:tc>
      </w:tr>
    </w:tbl>
    <w:p w14:paraId="1297D3DE">
      <w:pPr>
        <w:ind w:firstLine="482"/>
        <w:rPr>
          <w:b/>
          <w:highlight w:val="none"/>
        </w:rPr>
      </w:pPr>
      <w:r>
        <w:rPr>
          <w:rFonts w:hint="eastAsia"/>
          <w:b/>
          <w:highlight w:val="none"/>
        </w:rPr>
        <w:t>施工过程中如遇到上表中未涉及部分，施工单位应按照危大工程相关处理要求进行处理。</w:t>
      </w:r>
    </w:p>
    <w:p w14:paraId="72A571CD">
      <w:pPr>
        <w:ind w:firstLine="480"/>
        <w:rPr>
          <w:highlight w:val="none"/>
        </w:rPr>
      </w:pPr>
    </w:p>
    <w:p w14:paraId="1A98923B">
      <w:pPr>
        <w:pStyle w:val="3"/>
        <w:bidi w:val="0"/>
        <w:ind w:left="0" w:leftChars="0" w:firstLine="0" w:firstLineChars="0"/>
        <w:rPr>
          <w:rFonts w:hint="eastAsia"/>
        </w:rPr>
      </w:pPr>
      <w:bookmarkStart w:id="25" w:name="_Toc10374"/>
      <w:bookmarkStart w:id="26" w:name="_Toc116308034"/>
      <w:bookmarkStart w:id="27" w:name="_Toc14619"/>
      <w:r>
        <w:rPr>
          <w:rFonts w:hint="eastAsia"/>
        </w:rPr>
        <w:t>附件</w:t>
      </w:r>
      <w:bookmarkEnd w:id="25"/>
      <w:bookmarkEnd w:id="26"/>
      <w:bookmarkEnd w:id="27"/>
    </w:p>
    <w:p w14:paraId="4125E55D">
      <w:pPr>
        <w:ind w:firstLine="480"/>
        <w:jc w:val="left"/>
        <w:rPr>
          <w:rFonts w:hint="eastAsia"/>
          <w:lang w:val="en-US" w:eastAsia="zh-CN"/>
        </w:rPr>
      </w:pPr>
      <w:r>
        <w:t xml:space="preserve">  </w:t>
      </w:r>
      <w:r>
        <w:rPr>
          <w:rFonts w:hint="eastAsia"/>
          <w:lang w:val="en-US" w:eastAsia="zh-CN"/>
        </w:rPr>
        <w:t>1</w:t>
      </w:r>
      <w:r>
        <w:rPr>
          <w:rFonts w:hint="eastAsia"/>
        </w:rPr>
        <w:t>、广州空港经济区拆迁安置区(花东安置区)教育配套设施建设项目初步设计技术评审专家组意见</w:t>
      </w:r>
      <w:r>
        <w:rPr>
          <w:rFonts w:hint="eastAsia"/>
          <w:lang w:val="en-US" w:eastAsia="zh-CN"/>
        </w:rPr>
        <w:t xml:space="preserve"> </w:t>
      </w:r>
    </w:p>
    <w:p w14:paraId="498AB081">
      <w:pPr>
        <w:ind w:firstLine="480"/>
        <w:jc w:val="center"/>
        <w:rPr>
          <w:rFonts w:hint="eastAsia"/>
          <w:b/>
          <w:bCs/>
          <w:lang w:val="en-US" w:eastAsia="zh-CN"/>
        </w:rPr>
      </w:pPr>
      <w:r>
        <w:drawing>
          <wp:inline distT="0" distB="0" distL="114300" distR="114300">
            <wp:extent cx="4917440" cy="7557135"/>
            <wp:effectExtent l="0" t="0" r="698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4917440" cy="7557135"/>
                    </a:xfrm>
                    <a:prstGeom prst="rect">
                      <a:avLst/>
                    </a:prstGeom>
                    <a:noFill/>
                    <a:ln>
                      <a:noFill/>
                    </a:ln>
                  </pic:spPr>
                </pic:pic>
              </a:graphicData>
            </a:graphic>
          </wp:inline>
        </w:drawing>
      </w:r>
    </w:p>
    <w:p w14:paraId="53CB1CDF">
      <w:pPr>
        <w:widowControl/>
        <w:spacing w:line="240" w:lineRule="auto"/>
        <w:ind w:firstLine="0" w:firstLineChars="0"/>
        <w:jc w:val="left"/>
      </w:pPr>
      <w:r>
        <w:drawing>
          <wp:inline distT="0" distB="0" distL="114300" distR="114300">
            <wp:extent cx="6010275" cy="857250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6010275" cy="8572500"/>
                    </a:xfrm>
                    <a:prstGeom prst="rect">
                      <a:avLst/>
                    </a:prstGeom>
                    <a:noFill/>
                    <a:ln>
                      <a:noFill/>
                    </a:ln>
                  </pic:spPr>
                </pic:pic>
              </a:graphicData>
            </a:graphic>
          </wp:inline>
        </w:drawing>
      </w:r>
    </w:p>
    <w:p w14:paraId="3D32F084">
      <w:pPr>
        <w:widowControl/>
        <w:spacing w:line="240" w:lineRule="auto"/>
        <w:ind w:firstLine="0" w:firstLineChars="0"/>
        <w:jc w:val="left"/>
      </w:pPr>
    </w:p>
    <w:p w14:paraId="2C3F1AF3">
      <w:pPr>
        <w:widowControl/>
        <w:spacing w:line="240" w:lineRule="auto"/>
        <w:ind w:firstLine="0" w:firstLineChars="0"/>
        <w:jc w:val="left"/>
      </w:pPr>
    </w:p>
    <w:p w14:paraId="35857E3A">
      <w:pPr>
        <w:ind w:firstLine="480"/>
        <w:jc w:val="left"/>
        <w:rPr>
          <w:rFonts w:hint="eastAsia"/>
        </w:rPr>
      </w:pPr>
      <w:r>
        <w:rPr>
          <w:rFonts w:hint="eastAsia"/>
          <w:lang w:val="en-US" w:eastAsia="zh-CN"/>
        </w:rPr>
        <w:t>2</w:t>
      </w:r>
      <w:r>
        <w:rPr>
          <w:rFonts w:hint="eastAsia"/>
        </w:rPr>
        <w:t>、</w:t>
      </w:r>
      <w:r>
        <w:rPr>
          <w:rFonts w:hint="eastAsia"/>
          <w:lang w:val="en-US" w:eastAsia="zh-CN"/>
        </w:rPr>
        <w:t>广州市建设用地规划条件（穗规划资源业务函【2020)15341号）</w:t>
      </w:r>
    </w:p>
    <w:p w14:paraId="771EA027">
      <w:pPr>
        <w:ind w:firstLine="480"/>
        <w:jc w:val="left"/>
      </w:pPr>
      <w:r>
        <w:drawing>
          <wp:inline distT="0" distB="0" distL="114300" distR="114300">
            <wp:extent cx="5438775" cy="7762875"/>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36"/>
                    <a:stretch>
                      <a:fillRect/>
                    </a:stretch>
                  </pic:blipFill>
                  <pic:spPr>
                    <a:xfrm>
                      <a:off x="0" y="0"/>
                      <a:ext cx="5438775" cy="7762875"/>
                    </a:xfrm>
                    <a:prstGeom prst="rect">
                      <a:avLst/>
                    </a:prstGeom>
                    <a:noFill/>
                    <a:ln>
                      <a:noFill/>
                    </a:ln>
                  </pic:spPr>
                </pic:pic>
              </a:graphicData>
            </a:graphic>
          </wp:inline>
        </w:drawing>
      </w:r>
    </w:p>
    <w:p w14:paraId="7E655582">
      <w:pPr>
        <w:ind w:firstLine="480"/>
        <w:rPr>
          <w:rFonts w:hint="eastAsia" w:ascii="宋体" w:hAnsi="宋体" w:eastAsia="宋体" w:cs="Times New Roman"/>
          <w:color w:val="auto"/>
          <w:sz w:val="24"/>
          <w:lang w:val="en-US" w:eastAsia="zh-CN"/>
        </w:rPr>
      </w:pPr>
    </w:p>
    <w:sectPr>
      <w:headerReference r:id="rId13" w:type="first"/>
      <w:footerReference r:id="rId16" w:type="first"/>
      <w:headerReference r:id="rId11" w:type="default"/>
      <w:footerReference r:id="rId14" w:type="default"/>
      <w:headerReference r:id="rId12" w:type="even"/>
      <w:footerReference r:id="rId15" w:type="even"/>
      <w:pgSz w:w="23811" w:h="16838" w:orient="landscape"/>
      <w:pgMar w:top="1418" w:right="1440" w:bottom="1134" w:left="1440" w:header="680" w:footer="737" w:gutter="0"/>
      <w:cols w:space="1201" w:num="2"/>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8F078">
    <w:pPr>
      <w:pStyle w:val="13"/>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9D2EF">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AE3722">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0206256"/>
    </w:sdtPr>
    <w:sdtEndPr>
      <w:rPr>
        <w:sz w:val="21"/>
        <w:szCs w:val="21"/>
      </w:rPr>
    </w:sdtEndPr>
    <w:sdtContent>
      <w:sdt>
        <w:sdtPr>
          <w:id w:val="-1769616900"/>
        </w:sdtPr>
        <w:sdtEndPr>
          <w:rPr>
            <w:sz w:val="21"/>
            <w:szCs w:val="21"/>
          </w:rPr>
        </w:sdtEndPr>
        <w:sdtContent>
          <w:p w14:paraId="1C7B0035">
            <w:pPr>
              <w:pStyle w:val="13"/>
              <w:pBdr>
                <w:top w:val="thinThickSmallGap" w:color="auto" w:sz="24" w:space="1"/>
              </w:pBdr>
              <w:ind w:firstLine="360"/>
              <w:jc w:val="center"/>
              <w:rPr>
                <w:sz w:val="21"/>
                <w:szCs w:val="21"/>
              </w:rPr>
            </w:pPr>
            <w:r>
              <w:rPr>
                <w:rFonts w:hint="eastAsia"/>
                <w:sz w:val="21"/>
              </w:rPr>
              <w:t xml:space="preserve">第 </w:t>
            </w:r>
            <w:r>
              <w:rPr>
                <w:sz w:val="21"/>
                <w:szCs w:val="21"/>
              </w:rPr>
              <w:fldChar w:fldCharType="begin"/>
            </w:r>
            <w:r>
              <w:rPr>
                <w:sz w:val="21"/>
                <w:szCs w:val="21"/>
              </w:rPr>
              <w:instrText xml:space="preserve">PAGE</w:instrText>
            </w:r>
            <w:r>
              <w:rPr>
                <w:sz w:val="21"/>
                <w:szCs w:val="21"/>
              </w:rPr>
              <w:fldChar w:fldCharType="separate"/>
            </w:r>
            <w:r>
              <w:rPr>
                <w:sz w:val="21"/>
                <w:szCs w:val="21"/>
              </w:rPr>
              <w:t>3</w:t>
            </w:r>
            <w:r>
              <w:rPr>
                <w:sz w:val="21"/>
                <w:szCs w:val="21"/>
              </w:rPr>
              <w:fldChar w:fldCharType="end"/>
            </w:r>
            <w:r>
              <w:rPr>
                <w:sz w:val="21"/>
                <w:szCs w:val="21"/>
              </w:rPr>
              <w:t xml:space="preserve"> </w:t>
            </w:r>
            <w:r>
              <w:rPr>
                <w:rFonts w:hint="eastAsia"/>
                <w:sz w:val="21"/>
                <w:szCs w:val="21"/>
              </w:rPr>
              <w:t xml:space="preserve">页 </w:t>
            </w:r>
            <w:r>
              <w:rPr>
                <w:rFonts w:hint="eastAsia"/>
                <w:sz w:val="21"/>
                <w:szCs w:val="21"/>
                <w:lang w:val="zh-CN"/>
              </w:rPr>
              <w:t xml:space="preserve">共 </w:t>
            </w:r>
            <w:r>
              <w:rPr>
                <w:sz w:val="21"/>
                <w:szCs w:val="21"/>
              </w:rPr>
              <w:fldChar w:fldCharType="begin"/>
            </w:r>
            <w:r>
              <w:rPr>
                <w:sz w:val="21"/>
                <w:szCs w:val="21"/>
              </w:rPr>
              <w:instrText xml:space="preserve">NUMPAGES</w:instrText>
            </w:r>
            <w:r>
              <w:rPr>
                <w:sz w:val="21"/>
                <w:szCs w:val="21"/>
              </w:rPr>
              <w:fldChar w:fldCharType="separate"/>
            </w:r>
            <w:r>
              <w:rPr>
                <w:sz w:val="21"/>
                <w:szCs w:val="21"/>
              </w:rPr>
              <w:t>13</w:t>
            </w:r>
            <w:r>
              <w:rPr>
                <w:sz w:val="21"/>
                <w:szCs w:val="21"/>
              </w:rPr>
              <w:fldChar w:fldCharType="end"/>
            </w:r>
            <w:r>
              <w:rPr>
                <w:sz w:val="21"/>
                <w:szCs w:val="21"/>
              </w:rPr>
              <w:t xml:space="preserve"> </w:t>
            </w:r>
            <w:r>
              <w:rPr>
                <w:rFonts w:hint="eastAsia"/>
                <w:sz w:val="21"/>
                <w:szCs w:val="21"/>
              </w:rPr>
              <w:t>页</w:t>
            </w:r>
          </w:p>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04A362">
    <w:pPr>
      <w:pStyle w:val="13"/>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4253E">
    <w:pPr>
      <w:pStyle w:val="1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42BFC">
    <w:pPr>
      <w:pStyle w:val="14"/>
      <w:pBdr>
        <w:bottom w:val="none" w:color="auto" w:sz="0" w:space="0"/>
      </w:pBdr>
      <w:ind w:firstLine="0" w:firstLineChars="0"/>
      <w:jc w:val="left"/>
      <w:rPr>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22F10E">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3514D">
    <w:pPr>
      <w:pStyle w:val="1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8357E2">
    <w:pPr>
      <w:pStyle w:val="14"/>
      <w:pBdr>
        <w:bottom w:val="thinThickSmallGap" w:color="auto" w:sz="24" w:space="1"/>
      </w:pBdr>
      <w:ind w:firstLine="0" w:firstLineChars="0"/>
      <w:jc w:val="left"/>
      <w:rPr>
        <w:sz w:val="21"/>
        <w:szCs w:val="21"/>
      </w:rPr>
    </w:pPr>
    <w:r>
      <w:rPr>
        <w:rFonts w:hint="eastAsia" w:ascii="宋体" w:hAnsi="宋体"/>
        <w:bCs/>
        <w:sz w:val="21"/>
        <w:szCs w:val="21"/>
        <w:lang w:eastAsia="zh-CN"/>
      </w:rPr>
      <w:t>广州空港经济区拆迁安置区（花东安置区）教育配套设施建设项目</w:t>
    </w:r>
    <w:r>
      <w:rPr>
        <w:sz w:val="21"/>
        <w:szCs w:val="21"/>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84DF8">
    <w:pPr>
      <w:pStyle w:val="14"/>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C9869F">
    <w:pPr>
      <w:pStyle w:val="1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DA5495"/>
    <w:multiLevelType w:val="singleLevel"/>
    <w:tmpl w:val="0ADA5495"/>
    <w:lvl w:ilvl="0" w:tentative="0">
      <w:start w:val="3"/>
      <w:numFmt w:val="decimal"/>
      <w:suff w:val="nothing"/>
      <w:lvlText w:val="%1、"/>
      <w:lvlJc w:val="left"/>
    </w:lvl>
  </w:abstractNum>
  <w:abstractNum w:abstractNumId="1">
    <w:nsid w:val="35507684"/>
    <w:multiLevelType w:val="multilevel"/>
    <w:tmpl w:val="35507684"/>
    <w:lvl w:ilvl="0" w:tentative="0">
      <w:start w:val="1"/>
      <w:numFmt w:val="decimal"/>
      <w:pStyle w:val="36"/>
      <w:suff w:val="nothing"/>
      <w:lvlText w:val="（%1）"/>
      <w:lvlJc w:val="left"/>
      <w:pPr>
        <w:ind w:left="0" w:firstLine="0"/>
      </w:pPr>
      <w:rPr>
        <w:rFonts w:hint="default" w:ascii="Times New Roman" w:hAnsi="Times New Roman" w:eastAsia="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630220D0"/>
    <w:multiLevelType w:val="multilevel"/>
    <w:tmpl w:val="630220D0"/>
    <w:lvl w:ilvl="0" w:tentative="0">
      <w:start w:val="1"/>
      <w:numFmt w:val="chineseCountingThousand"/>
      <w:pStyle w:val="2"/>
      <w:suff w:val="space"/>
      <w:lvlText w:val="第%1章"/>
      <w:lvlJc w:val="left"/>
      <w:pPr>
        <w:ind w:left="0" w:firstLine="0"/>
      </w:pPr>
      <w:rPr>
        <w:rFonts w:hint="eastAsia"/>
      </w:rPr>
    </w:lvl>
    <w:lvl w:ilvl="1" w:tentative="0">
      <w:start w:val="1"/>
      <w:numFmt w:val="decimal"/>
      <w:pStyle w:val="3"/>
      <w:isLgl/>
      <w:suff w:val="space"/>
      <w:lvlText w:val="%1.%2"/>
      <w:lvlJc w:val="left"/>
      <w:pPr>
        <w:ind w:left="0" w:firstLine="0"/>
      </w:pPr>
      <w:rPr>
        <w:rFonts w:hint="eastAsia"/>
      </w:rPr>
    </w:lvl>
    <w:lvl w:ilvl="2" w:tentative="0">
      <w:start w:val="1"/>
      <w:numFmt w:val="decimal"/>
      <w:pStyle w:val="4"/>
      <w:isLgl/>
      <w:suff w:val="space"/>
      <w:lvlText w:val="%1.%2.%3"/>
      <w:lvlJc w:val="left"/>
      <w:pPr>
        <w:ind w:left="0" w:firstLine="0"/>
      </w:pPr>
      <w:rPr>
        <w:rFonts w:hint="eastAsia"/>
      </w:rPr>
    </w:lvl>
    <w:lvl w:ilvl="3" w:tentative="0">
      <w:start w:val="1"/>
      <w:numFmt w:val="decimal"/>
      <w:pStyle w:val="5"/>
      <w:isLgl/>
      <w:suff w:val="space"/>
      <w:lvlText w:val="%1.%2.%3.%4"/>
      <w:lvlJc w:val="left"/>
      <w:pPr>
        <w:ind w:left="0" w:firstLine="0"/>
      </w:pPr>
      <w:rPr>
        <w:rFonts w:hint="eastAsia"/>
      </w:rPr>
    </w:lvl>
    <w:lvl w:ilvl="4" w:tentative="0">
      <w:start w:val="1"/>
      <w:numFmt w:val="decimal"/>
      <w:isLg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3">
    <w:nsid w:val="7529D4F2"/>
    <w:multiLevelType w:val="singleLevel"/>
    <w:tmpl w:val="7529D4F2"/>
    <w:lvl w:ilvl="0" w:tentative="0">
      <w:start w:val="1"/>
      <w:numFmt w:val="decimal"/>
      <w:lvlText w:val="(%1)"/>
      <w:lvlJc w:val="left"/>
      <w:pPr>
        <w:tabs>
          <w:tab w:val="left" w:pos="312"/>
        </w:tabs>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VhYTRhMTg0MmZjZjFhNTBhNmU3YzkzNzAwYzcyOWIifQ=="/>
  </w:docVars>
  <w:rsids>
    <w:rsidRoot w:val="00172A27"/>
    <w:rsid w:val="0000186F"/>
    <w:rsid w:val="00001D8D"/>
    <w:rsid w:val="00001DCB"/>
    <w:rsid w:val="00010C0C"/>
    <w:rsid w:val="00011B8F"/>
    <w:rsid w:val="00011E8C"/>
    <w:rsid w:val="00013E0D"/>
    <w:rsid w:val="00016470"/>
    <w:rsid w:val="00016A27"/>
    <w:rsid w:val="00025060"/>
    <w:rsid w:val="00030AF1"/>
    <w:rsid w:val="00030FE8"/>
    <w:rsid w:val="0003242B"/>
    <w:rsid w:val="00032FBC"/>
    <w:rsid w:val="000352B9"/>
    <w:rsid w:val="00044E0E"/>
    <w:rsid w:val="00051CEE"/>
    <w:rsid w:val="000574C3"/>
    <w:rsid w:val="000606DA"/>
    <w:rsid w:val="00061E0C"/>
    <w:rsid w:val="00063318"/>
    <w:rsid w:val="000637F3"/>
    <w:rsid w:val="00071045"/>
    <w:rsid w:val="0008196A"/>
    <w:rsid w:val="0008463F"/>
    <w:rsid w:val="00090AA4"/>
    <w:rsid w:val="00090E10"/>
    <w:rsid w:val="00097634"/>
    <w:rsid w:val="000A0453"/>
    <w:rsid w:val="000A4106"/>
    <w:rsid w:val="000A7BB0"/>
    <w:rsid w:val="000B02D2"/>
    <w:rsid w:val="000B2AEA"/>
    <w:rsid w:val="000B4A80"/>
    <w:rsid w:val="000B75D0"/>
    <w:rsid w:val="000C55FF"/>
    <w:rsid w:val="000D1026"/>
    <w:rsid w:val="000E2BD1"/>
    <w:rsid w:val="000E5621"/>
    <w:rsid w:val="000E600B"/>
    <w:rsid w:val="000F133B"/>
    <w:rsid w:val="000F3812"/>
    <w:rsid w:val="000F5477"/>
    <w:rsid w:val="0010287D"/>
    <w:rsid w:val="001058CD"/>
    <w:rsid w:val="0010791F"/>
    <w:rsid w:val="001172B1"/>
    <w:rsid w:val="00121D9C"/>
    <w:rsid w:val="00124796"/>
    <w:rsid w:val="0012786A"/>
    <w:rsid w:val="00132C0B"/>
    <w:rsid w:val="00134F22"/>
    <w:rsid w:val="00145FF8"/>
    <w:rsid w:val="001512A0"/>
    <w:rsid w:val="00152A61"/>
    <w:rsid w:val="0015550F"/>
    <w:rsid w:val="0015755D"/>
    <w:rsid w:val="00157848"/>
    <w:rsid w:val="00172A27"/>
    <w:rsid w:val="00183B3D"/>
    <w:rsid w:val="00191805"/>
    <w:rsid w:val="001948D1"/>
    <w:rsid w:val="00196204"/>
    <w:rsid w:val="001966D8"/>
    <w:rsid w:val="001A1C7D"/>
    <w:rsid w:val="001B1A28"/>
    <w:rsid w:val="001C1428"/>
    <w:rsid w:val="001C4DFE"/>
    <w:rsid w:val="001D10BC"/>
    <w:rsid w:val="001D37FD"/>
    <w:rsid w:val="001E720E"/>
    <w:rsid w:val="002012C9"/>
    <w:rsid w:val="00210E82"/>
    <w:rsid w:val="00214C94"/>
    <w:rsid w:val="002201C7"/>
    <w:rsid w:val="00225040"/>
    <w:rsid w:val="0023582A"/>
    <w:rsid w:val="00235BCE"/>
    <w:rsid w:val="00237DF8"/>
    <w:rsid w:val="00242245"/>
    <w:rsid w:val="00243FA3"/>
    <w:rsid w:val="00244625"/>
    <w:rsid w:val="00260496"/>
    <w:rsid w:val="00262EDD"/>
    <w:rsid w:val="00263B16"/>
    <w:rsid w:val="00273D72"/>
    <w:rsid w:val="00282338"/>
    <w:rsid w:val="0028676B"/>
    <w:rsid w:val="002B3631"/>
    <w:rsid w:val="002B3C1B"/>
    <w:rsid w:val="002B7BA9"/>
    <w:rsid w:val="002D2A19"/>
    <w:rsid w:val="002D2CA4"/>
    <w:rsid w:val="002D2DD8"/>
    <w:rsid w:val="002D4548"/>
    <w:rsid w:val="002E035B"/>
    <w:rsid w:val="00300BFE"/>
    <w:rsid w:val="00303F47"/>
    <w:rsid w:val="0030482D"/>
    <w:rsid w:val="00306289"/>
    <w:rsid w:val="00307D09"/>
    <w:rsid w:val="003135E6"/>
    <w:rsid w:val="003137B7"/>
    <w:rsid w:val="00315452"/>
    <w:rsid w:val="00315DBB"/>
    <w:rsid w:val="00331A72"/>
    <w:rsid w:val="003375AA"/>
    <w:rsid w:val="00343B7B"/>
    <w:rsid w:val="003468CC"/>
    <w:rsid w:val="00352E1B"/>
    <w:rsid w:val="00353416"/>
    <w:rsid w:val="00370459"/>
    <w:rsid w:val="0037512F"/>
    <w:rsid w:val="00376D8D"/>
    <w:rsid w:val="00382E22"/>
    <w:rsid w:val="00385153"/>
    <w:rsid w:val="00393C27"/>
    <w:rsid w:val="003A0F06"/>
    <w:rsid w:val="003A1A86"/>
    <w:rsid w:val="003A5AD2"/>
    <w:rsid w:val="003A5F9A"/>
    <w:rsid w:val="003B5221"/>
    <w:rsid w:val="003C0721"/>
    <w:rsid w:val="003C1762"/>
    <w:rsid w:val="003D20CE"/>
    <w:rsid w:val="003D7243"/>
    <w:rsid w:val="00417DE6"/>
    <w:rsid w:val="00424A49"/>
    <w:rsid w:val="00426476"/>
    <w:rsid w:val="004264D6"/>
    <w:rsid w:val="00446D34"/>
    <w:rsid w:val="00451953"/>
    <w:rsid w:val="004616E0"/>
    <w:rsid w:val="00465CF0"/>
    <w:rsid w:val="004730E5"/>
    <w:rsid w:val="0047791B"/>
    <w:rsid w:val="00481091"/>
    <w:rsid w:val="00492D9A"/>
    <w:rsid w:val="004931B7"/>
    <w:rsid w:val="00494062"/>
    <w:rsid w:val="004949F2"/>
    <w:rsid w:val="00495651"/>
    <w:rsid w:val="00495ABF"/>
    <w:rsid w:val="004A5EA3"/>
    <w:rsid w:val="004B2535"/>
    <w:rsid w:val="004C00E3"/>
    <w:rsid w:val="004C3F6F"/>
    <w:rsid w:val="004D5B64"/>
    <w:rsid w:val="004E19F4"/>
    <w:rsid w:val="004E2F0B"/>
    <w:rsid w:val="004E5AF6"/>
    <w:rsid w:val="004F27B1"/>
    <w:rsid w:val="00506E8E"/>
    <w:rsid w:val="005076C0"/>
    <w:rsid w:val="00512194"/>
    <w:rsid w:val="00514CC7"/>
    <w:rsid w:val="00524070"/>
    <w:rsid w:val="005240D4"/>
    <w:rsid w:val="00532B1A"/>
    <w:rsid w:val="00540317"/>
    <w:rsid w:val="00546508"/>
    <w:rsid w:val="0054662D"/>
    <w:rsid w:val="005515B2"/>
    <w:rsid w:val="00551C0A"/>
    <w:rsid w:val="00553B90"/>
    <w:rsid w:val="005617FE"/>
    <w:rsid w:val="005632F6"/>
    <w:rsid w:val="005675B9"/>
    <w:rsid w:val="005716EB"/>
    <w:rsid w:val="00574B1B"/>
    <w:rsid w:val="00582E31"/>
    <w:rsid w:val="005839E3"/>
    <w:rsid w:val="00583FDB"/>
    <w:rsid w:val="00586D52"/>
    <w:rsid w:val="00591EE7"/>
    <w:rsid w:val="00593B48"/>
    <w:rsid w:val="005942D2"/>
    <w:rsid w:val="005A146F"/>
    <w:rsid w:val="005A2E1A"/>
    <w:rsid w:val="005A6CFC"/>
    <w:rsid w:val="005B4522"/>
    <w:rsid w:val="005E085D"/>
    <w:rsid w:val="005E5D95"/>
    <w:rsid w:val="005E7168"/>
    <w:rsid w:val="005F0F9D"/>
    <w:rsid w:val="00601264"/>
    <w:rsid w:val="00611C4F"/>
    <w:rsid w:val="00620822"/>
    <w:rsid w:val="00626018"/>
    <w:rsid w:val="0063093F"/>
    <w:rsid w:val="00634EDD"/>
    <w:rsid w:val="00654198"/>
    <w:rsid w:val="00657D80"/>
    <w:rsid w:val="00667591"/>
    <w:rsid w:val="00673900"/>
    <w:rsid w:val="00674B9C"/>
    <w:rsid w:val="00685FEA"/>
    <w:rsid w:val="006951BB"/>
    <w:rsid w:val="006A2505"/>
    <w:rsid w:val="006A3A55"/>
    <w:rsid w:val="006B0453"/>
    <w:rsid w:val="006B17EA"/>
    <w:rsid w:val="006B5653"/>
    <w:rsid w:val="006B5A1A"/>
    <w:rsid w:val="006B7F51"/>
    <w:rsid w:val="006D0D45"/>
    <w:rsid w:val="006E4429"/>
    <w:rsid w:val="006E4695"/>
    <w:rsid w:val="006F6485"/>
    <w:rsid w:val="0070050A"/>
    <w:rsid w:val="00701364"/>
    <w:rsid w:val="0071052B"/>
    <w:rsid w:val="0072189B"/>
    <w:rsid w:val="00726779"/>
    <w:rsid w:val="007269BC"/>
    <w:rsid w:val="007365A7"/>
    <w:rsid w:val="00742EB6"/>
    <w:rsid w:val="007431E0"/>
    <w:rsid w:val="007456D3"/>
    <w:rsid w:val="007476F3"/>
    <w:rsid w:val="00751B04"/>
    <w:rsid w:val="00754E7E"/>
    <w:rsid w:val="007573B1"/>
    <w:rsid w:val="00761DB2"/>
    <w:rsid w:val="00762ADB"/>
    <w:rsid w:val="00762D81"/>
    <w:rsid w:val="00765C32"/>
    <w:rsid w:val="00766737"/>
    <w:rsid w:val="00770B2D"/>
    <w:rsid w:val="007817C1"/>
    <w:rsid w:val="00782573"/>
    <w:rsid w:val="00787A10"/>
    <w:rsid w:val="00791AA8"/>
    <w:rsid w:val="00791F80"/>
    <w:rsid w:val="00792410"/>
    <w:rsid w:val="00793A25"/>
    <w:rsid w:val="007A6ACB"/>
    <w:rsid w:val="007C31B2"/>
    <w:rsid w:val="007E299A"/>
    <w:rsid w:val="007F4C85"/>
    <w:rsid w:val="007F5F29"/>
    <w:rsid w:val="00801E9B"/>
    <w:rsid w:val="00806546"/>
    <w:rsid w:val="00813331"/>
    <w:rsid w:val="00817D94"/>
    <w:rsid w:val="008315D8"/>
    <w:rsid w:val="00832CC9"/>
    <w:rsid w:val="008350CF"/>
    <w:rsid w:val="00842224"/>
    <w:rsid w:val="0086357D"/>
    <w:rsid w:val="008739F2"/>
    <w:rsid w:val="00881592"/>
    <w:rsid w:val="00885881"/>
    <w:rsid w:val="00891D80"/>
    <w:rsid w:val="008960C9"/>
    <w:rsid w:val="008A7B59"/>
    <w:rsid w:val="008B4BED"/>
    <w:rsid w:val="008D5906"/>
    <w:rsid w:val="008D7C17"/>
    <w:rsid w:val="008D7D3E"/>
    <w:rsid w:val="008E10DE"/>
    <w:rsid w:val="008E4166"/>
    <w:rsid w:val="008F32E5"/>
    <w:rsid w:val="009047B7"/>
    <w:rsid w:val="00905191"/>
    <w:rsid w:val="00913E2C"/>
    <w:rsid w:val="009169BE"/>
    <w:rsid w:val="00916DAC"/>
    <w:rsid w:val="00930506"/>
    <w:rsid w:val="009403B5"/>
    <w:rsid w:val="0094161B"/>
    <w:rsid w:val="0095072A"/>
    <w:rsid w:val="00950D44"/>
    <w:rsid w:val="00952AFE"/>
    <w:rsid w:val="00956811"/>
    <w:rsid w:val="00962284"/>
    <w:rsid w:val="00965C3E"/>
    <w:rsid w:val="00966857"/>
    <w:rsid w:val="00972666"/>
    <w:rsid w:val="00973060"/>
    <w:rsid w:val="0097750A"/>
    <w:rsid w:val="0098113A"/>
    <w:rsid w:val="00985D5B"/>
    <w:rsid w:val="00995D3C"/>
    <w:rsid w:val="009B43C0"/>
    <w:rsid w:val="009B43EF"/>
    <w:rsid w:val="009B5182"/>
    <w:rsid w:val="009B52EF"/>
    <w:rsid w:val="009C3C1E"/>
    <w:rsid w:val="009D6F63"/>
    <w:rsid w:val="00A00B38"/>
    <w:rsid w:val="00A0355A"/>
    <w:rsid w:val="00A277D5"/>
    <w:rsid w:val="00A352DF"/>
    <w:rsid w:val="00A3581B"/>
    <w:rsid w:val="00A40241"/>
    <w:rsid w:val="00A415C6"/>
    <w:rsid w:val="00A449ED"/>
    <w:rsid w:val="00A57D9A"/>
    <w:rsid w:val="00A66638"/>
    <w:rsid w:val="00A73500"/>
    <w:rsid w:val="00A85C54"/>
    <w:rsid w:val="00A96B24"/>
    <w:rsid w:val="00A979E6"/>
    <w:rsid w:val="00AA3D98"/>
    <w:rsid w:val="00AA7743"/>
    <w:rsid w:val="00AA7E46"/>
    <w:rsid w:val="00AB67FD"/>
    <w:rsid w:val="00AB6D9D"/>
    <w:rsid w:val="00AC07C6"/>
    <w:rsid w:val="00AC13D2"/>
    <w:rsid w:val="00AC7BCF"/>
    <w:rsid w:val="00AD5917"/>
    <w:rsid w:val="00AE1D62"/>
    <w:rsid w:val="00AE5F38"/>
    <w:rsid w:val="00AF74BF"/>
    <w:rsid w:val="00B0214D"/>
    <w:rsid w:val="00B0540E"/>
    <w:rsid w:val="00B12DEA"/>
    <w:rsid w:val="00B151B7"/>
    <w:rsid w:val="00B34FAC"/>
    <w:rsid w:val="00B464FA"/>
    <w:rsid w:val="00B53C58"/>
    <w:rsid w:val="00B5767A"/>
    <w:rsid w:val="00B61D50"/>
    <w:rsid w:val="00B642FF"/>
    <w:rsid w:val="00B65843"/>
    <w:rsid w:val="00B707B3"/>
    <w:rsid w:val="00B710A3"/>
    <w:rsid w:val="00B75961"/>
    <w:rsid w:val="00B763D2"/>
    <w:rsid w:val="00B97430"/>
    <w:rsid w:val="00BA2F4B"/>
    <w:rsid w:val="00BA3C24"/>
    <w:rsid w:val="00BB46B0"/>
    <w:rsid w:val="00BB480D"/>
    <w:rsid w:val="00BC2601"/>
    <w:rsid w:val="00BC2C0C"/>
    <w:rsid w:val="00BC68DC"/>
    <w:rsid w:val="00BF7CA1"/>
    <w:rsid w:val="00C02945"/>
    <w:rsid w:val="00C109FE"/>
    <w:rsid w:val="00C15623"/>
    <w:rsid w:val="00C2275D"/>
    <w:rsid w:val="00C230A3"/>
    <w:rsid w:val="00C23208"/>
    <w:rsid w:val="00C268E7"/>
    <w:rsid w:val="00C34BB0"/>
    <w:rsid w:val="00C34F3D"/>
    <w:rsid w:val="00C35CD3"/>
    <w:rsid w:val="00C516A7"/>
    <w:rsid w:val="00C528C1"/>
    <w:rsid w:val="00C808A7"/>
    <w:rsid w:val="00C96313"/>
    <w:rsid w:val="00C969B4"/>
    <w:rsid w:val="00CA1F44"/>
    <w:rsid w:val="00CB0B89"/>
    <w:rsid w:val="00CB7606"/>
    <w:rsid w:val="00CC3BF1"/>
    <w:rsid w:val="00CD2BAA"/>
    <w:rsid w:val="00CD407C"/>
    <w:rsid w:val="00CD53A9"/>
    <w:rsid w:val="00CD5612"/>
    <w:rsid w:val="00CE04FE"/>
    <w:rsid w:val="00CE3DB6"/>
    <w:rsid w:val="00CE4947"/>
    <w:rsid w:val="00CE4D57"/>
    <w:rsid w:val="00CE61B7"/>
    <w:rsid w:val="00CE75CC"/>
    <w:rsid w:val="00CE789C"/>
    <w:rsid w:val="00CF4207"/>
    <w:rsid w:val="00D1344A"/>
    <w:rsid w:val="00D317B2"/>
    <w:rsid w:val="00D35A4D"/>
    <w:rsid w:val="00D37229"/>
    <w:rsid w:val="00D57771"/>
    <w:rsid w:val="00D60051"/>
    <w:rsid w:val="00D94AEE"/>
    <w:rsid w:val="00DB4FF7"/>
    <w:rsid w:val="00DB6B6D"/>
    <w:rsid w:val="00DC2871"/>
    <w:rsid w:val="00DC6FBB"/>
    <w:rsid w:val="00DD0872"/>
    <w:rsid w:val="00DD41F8"/>
    <w:rsid w:val="00DD5DC9"/>
    <w:rsid w:val="00DE14BF"/>
    <w:rsid w:val="00DE4A78"/>
    <w:rsid w:val="00DE6596"/>
    <w:rsid w:val="00DE7DBE"/>
    <w:rsid w:val="00DF3248"/>
    <w:rsid w:val="00DF5378"/>
    <w:rsid w:val="00E022A8"/>
    <w:rsid w:val="00E1153D"/>
    <w:rsid w:val="00E14740"/>
    <w:rsid w:val="00E14FCD"/>
    <w:rsid w:val="00E20D32"/>
    <w:rsid w:val="00E3088D"/>
    <w:rsid w:val="00E347B9"/>
    <w:rsid w:val="00E41DB4"/>
    <w:rsid w:val="00E42C55"/>
    <w:rsid w:val="00E44539"/>
    <w:rsid w:val="00E47A7F"/>
    <w:rsid w:val="00E7600F"/>
    <w:rsid w:val="00E7647B"/>
    <w:rsid w:val="00E821A7"/>
    <w:rsid w:val="00E9769E"/>
    <w:rsid w:val="00E97BF8"/>
    <w:rsid w:val="00EA4A74"/>
    <w:rsid w:val="00EA6C53"/>
    <w:rsid w:val="00EB16BC"/>
    <w:rsid w:val="00EB23AC"/>
    <w:rsid w:val="00EB5456"/>
    <w:rsid w:val="00EB5D17"/>
    <w:rsid w:val="00EB6285"/>
    <w:rsid w:val="00ED7E26"/>
    <w:rsid w:val="00EE5198"/>
    <w:rsid w:val="00EF1B70"/>
    <w:rsid w:val="00EF5E3F"/>
    <w:rsid w:val="00F105BE"/>
    <w:rsid w:val="00F12A2F"/>
    <w:rsid w:val="00F16BC0"/>
    <w:rsid w:val="00F21D36"/>
    <w:rsid w:val="00F22286"/>
    <w:rsid w:val="00F22E64"/>
    <w:rsid w:val="00F26944"/>
    <w:rsid w:val="00F43A01"/>
    <w:rsid w:val="00F528EF"/>
    <w:rsid w:val="00F72802"/>
    <w:rsid w:val="00F72E1C"/>
    <w:rsid w:val="00F7394F"/>
    <w:rsid w:val="00F7730B"/>
    <w:rsid w:val="00F87473"/>
    <w:rsid w:val="00FA1A18"/>
    <w:rsid w:val="00FB5C50"/>
    <w:rsid w:val="00FB68AB"/>
    <w:rsid w:val="00FC194E"/>
    <w:rsid w:val="00FC2102"/>
    <w:rsid w:val="00FC76A0"/>
    <w:rsid w:val="00FD0DD7"/>
    <w:rsid w:val="00FD36A8"/>
    <w:rsid w:val="00FD5F69"/>
    <w:rsid w:val="00FF47AD"/>
    <w:rsid w:val="00FF49B5"/>
    <w:rsid w:val="03AA0F04"/>
    <w:rsid w:val="06C718A4"/>
    <w:rsid w:val="073F05EA"/>
    <w:rsid w:val="0A436AEF"/>
    <w:rsid w:val="0A5A755B"/>
    <w:rsid w:val="0BC1638D"/>
    <w:rsid w:val="0CD16397"/>
    <w:rsid w:val="0CE5314D"/>
    <w:rsid w:val="0CF51545"/>
    <w:rsid w:val="0D893AF1"/>
    <w:rsid w:val="0F571BF7"/>
    <w:rsid w:val="11773E60"/>
    <w:rsid w:val="16BE3C22"/>
    <w:rsid w:val="17205029"/>
    <w:rsid w:val="17E45DC2"/>
    <w:rsid w:val="1929295A"/>
    <w:rsid w:val="1A04343C"/>
    <w:rsid w:val="1A7B6566"/>
    <w:rsid w:val="1B1D4C62"/>
    <w:rsid w:val="1BDB39AC"/>
    <w:rsid w:val="1C66512C"/>
    <w:rsid w:val="1D6D1ED1"/>
    <w:rsid w:val="1DCC210C"/>
    <w:rsid w:val="1EDD33A6"/>
    <w:rsid w:val="1F550492"/>
    <w:rsid w:val="20D16A64"/>
    <w:rsid w:val="21203F05"/>
    <w:rsid w:val="21270FAE"/>
    <w:rsid w:val="22005063"/>
    <w:rsid w:val="222A47EB"/>
    <w:rsid w:val="230341F3"/>
    <w:rsid w:val="231A12FC"/>
    <w:rsid w:val="24056708"/>
    <w:rsid w:val="25057EC7"/>
    <w:rsid w:val="255F751E"/>
    <w:rsid w:val="26EF0C02"/>
    <w:rsid w:val="2B124A2F"/>
    <w:rsid w:val="2C0B3E35"/>
    <w:rsid w:val="2CF471A3"/>
    <w:rsid w:val="313D3CF3"/>
    <w:rsid w:val="31A41A2D"/>
    <w:rsid w:val="33FB1B8D"/>
    <w:rsid w:val="342C340B"/>
    <w:rsid w:val="345C44DA"/>
    <w:rsid w:val="358C5E42"/>
    <w:rsid w:val="36253334"/>
    <w:rsid w:val="36C97853"/>
    <w:rsid w:val="38426461"/>
    <w:rsid w:val="38524A8D"/>
    <w:rsid w:val="393148B3"/>
    <w:rsid w:val="39C345A2"/>
    <w:rsid w:val="3A706705"/>
    <w:rsid w:val="3AC84ECE"/>
    <w:rsid w:val="3BBD18B7"/>
    <w:rsid w:val="3BC1574D"/>
    <w:rsid w:val="3EEF7EEB"/>
    <w:rsid w:val="3F14541A"/>
    <w:rsid w:val="3F5633BA"/>
    <w:rsid w:val="402D660D"/>
    <w:rsid w:val="4097471A"/>
    <w:rsid w:val="409C4544"/>
    <w:rsid w:val="40A508F0"/>
    <w:rsid w:val="41761783"/>
    <w:rsid w:val="4182417B"/>
    <w:rsid w:val="428504A4"/>
    <w:rsid w:val="43731208"/>
    <w:rsid w:val="43FF296A"/>
    <w:rsid w:val="44D80E26"/>
    <w:rsid w:val="470C5306"/>
    <w:rsid w:val="49561DBF"/>
    <w:rsid w:val="4A326A96"/>
    <w:rsid w:val="4A34714B"/>
    <w:rsid w:val="4AE45D6F"/>
    <w:rsid w:val="4DDF1176"/>
    <w:rsid w:val="4E5A52AA"/>
    <w:rsid w:val="51993BA4"/>
    <w:rsid w:val="51E47CAD"/>
    <w:rsid w:val="530C053C"/>
    <w:rsid w:val="5330201B"/>
    <w:rsid w:val="5386283D"/>
    <w:rsid w:val="54A03F81"/>
    <w:rsid w:val="57D823DC"/>
    <w:rsid w:val="5C0D4BA3"/>
    <w:rsid w:val="5D0A20C9"/>
    <w:rsid w:val="5D5633E3"/>
    <w:rsid w:val="5DBF4454"/>
    <w:rsid w:val="5E991B29"/>
    <w:rsid w:val="5F204DF7"/>
    <w:rsid w:val="606B027D"/>
    <w:rsid w:val="622C5F63"/>
    <w:rsid w:val="62FA060A"/>
    <w:rsid w:val="66FC0AB7"/>
    <w:rsid w:val="6B0777A4"/>
    <w:rsid w:val="6B690072"/>
    <w:rsid w:val="6C1266BC"/>
    <w:rsid w:val="6D560A84"/>
    <w:rsid w:val="6E1E6807"/>
    <w:rsid w:val="6E4808DB"/>
    <w:rsid w:val="6E864DC7"/>
    <w:rsid w:val="6F5A7F86"/>
    <w:rsid w:val="6FC928A5"/>
    <w:rsid w:val="70DA3B37"/>
    <w:rsid w:val="710C0CFB"/>
    <w:rsid w:val="717F5DC5"/>
    <w:rsid w:val="724D7AA4"/>
    <w:rsid w:val="72867449"/>
    <w:rsid w:val="73326B2A"/>
    <w:rsid w:val="74197B40"/>
    <w:rsid w:val="754C57D9"/>
    <w:rsid w:val="75C60FF7"/>
    <w:rsid w:val="77404DFD"/>
    <w:rsid w:val="786761D5"/>
    <w:rsid w:val="78BC3EF0"/>
    <w:rsid w:val="79DF62D8"/>
    <w:rsid w:val="7AB13A19"/>
    <w:rsid w:val="7C815ED2"/>
    <w:rsid w:val="7CC92F1F"/>
    <w:rsid w:val="7E26428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27"/>
    <w:qFormat/>
    <w:uiPriority w:val="0"/>
    <w:pPr>
      <w:keepNext/>
      <w:keepLines/>
      <w:numPr>
        <w:ilvl w:val="0"/>
        <w:numId w:val="1"/>
      </w:numPr>
      <w:spacing w:before="50" w:beforeLines="50" w:after="50" w:afterLines="50"/>
      <w:ind w:firstLineChars="0"/>
      <w:jc w:val="center"/>
      <w:outlineLvl w:val="0"/>
    </w:pPr>
    <w:rPr>
      <w:b/>
      <w:bCs/>
      <w:kern w:val="44"/>
      <w:sz w:val="32"/>
      <w:szCs w:val="44"/>
    </w:rPr>
  </w:style>
  <w:style w:type="paragraph" w:styleId="3">
    <w:name w:val="heading 2"/>
    <w:basedOn w:val="1"/>
    <w:next w:val="1"/>
    <w:link w:val="28"/>
    <w:unhideWhenUsed/>
    <w:qFormat/>
    <w:uiPriority w:val="0"/>
    <w:pPr>
      <w:keepNext/>
      <w:keepLines/>
      <w:numPr>
        <w:ilvl w:val="1"/>
        <w:numId w:val="1"/>
      </w:numPr>
      <w:spacing w:before="50" w:beforeLines="50" w:after="50" w:afterLines="50"/>
      <w:ind w:firstLine="200"/>
      <w:outlineLvl w:val="1"/>
    </w:pPr>
    <w:rPr>
      <w:rFonts w:cstheme="majorBidi"/>
      <w:b/>
      <w:bCs/>
      <w:color w:val="FF6600"/>
      <w:sz w:val="30"/>
      <w:szCs w:val="32"/>
    </w:rPr>
  </w:style>
  <w:style w:type="paragraph" w:styleId="4">
    <w:name w:val="heading 3"/>
    <w:basedOn w:val="1"/>
    <w:next w:val="1"/>
    <w:link w:val="29"/>
    <w:unhideWhenUsed/>
    <w:qFormat/>
    <w:uiPriority w:val="0"/>
    <w:pPr>
      <w:keepNext/>
      <w:keepLines/>
      <w:numPr>
        <w:ilvl w:val="2"/>
        <w:numId w:val="1"/>
      </w:numPr>
      <w:spacing w:before="50" w:beforeLines="50" w:after="50" w:afterLines="50"/>
      <w:ind w:firstLineChars="0"/>
      <w:outlineLvl w:val="2"/>
    </w:pPr>
    <w:rPr>
      <w:bCs/>
      <w:color w:val="0066FF"/>
      <w:sz w:val="28"/>
      <w:szCs w:val="32"/>
    </w:rPr>
  </w:style>
  <w:style w:type="paragraph" w:styleId="5">
    <w:name w:val="heading 4"/>
    <w:basedOn w:val="1"/>
    <w:next w:val="1"/>
    <w:link w:val="30"/>
    <w:unhideWhenUsed/>
    <w:qFormat/>
    <w:uiPriority w:val="0"/>
    <w:pPr>
      <w:keepNext/>
      <w:keepLines/>
      <w:numPr>
        <w:ilvl w:val="3"/>
        <w:numId w:val="1"/>
      </w:numPr>
      <w:spacing w:before="10" w:after="10" w:line="377" w:lineRule="auto"/>
      <w:ind w:firstLine="200"/>
      <w:outlineLvl w:val="3"/>
    </w:pPr>
    <w:rPr>
      <w:rFonts w:cstheme="majorBidi"/>
      <w:b/>
      <w:bCs/>
      <w:color w:val="00CC00"/>
      <w:szCs w:val="28"/>
    </w:rPr>
  </w:style>
  <w:style w:type="paragraph" w:styleId="6">
    <w:name w:val="heading 6"/>
    <w:basedOn w:val="1"/>
    <w:next w:val="1"/>
    <w:link w:val="38"/>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adjustRightInd w:val="0"/>
      <w:spacing w:line="480" w:lineRule="auto"/>
      <w:ind w:firstLine="420"/>
      <w:textAlignment w:val="baseline"/>
    </w:pPr>
    <w:rPr>
      <w:spacing w:val="8"/>
      <w:kern w:val="24"/>
      <w:szCs w:val="20"/>
    </w:rPr>
  </w:style>
  <w:style w:type="paragraph" w:styleId="8">
    <w:name w:val="annotation text"/>
    <w:basedOn w:val="1"/>
    <w:link w:val="49"/>
    <w:semiHidden/>
    <w:unhideWhenUsed/>
    <w:qFormat/>
    <w:uiPriority w:val="99"/>
    <w:pPr>
      <w:jc w:val="left"/>
    </w:pPr>
  </w:style>
  <w:style w:type="paragraph" w:styleId="9">
    <w:name w:val="Body Text"/>
    <w:basedOn w:val="1"/>
    <w:link w:val="52"/>
    <w:unhideWhenUsed/>
    <w:qFormat/>
    <w:uiPriority w:val="0"/>
    <w:pPr>
      <w:suppressAutoHyphens/>
      <w:adjustRightInd w:val="0"/>
      <w:spacing w:line="312" w:lineRule="auto"/>
      <w:ind w:firstLine="0" w:firstLineChars="0"/>
      <w:jc w:val="left"/>
    </w:pPr>
    <w:rPr>
      <w:rFonts w:cs="Times New Roman"/>
      <w:spacing w:val="-4"/>
      <w:kern w:val="0"/>
      <w:szCs w:val="20"/>
    </w:rPr>
  </w:style>
  <w:style w:type="paragraph" w:styleId="10">
    <w:name w:val="toc 3"/>
    <w:basedOn w:val="1"/>
    <w:next w:val="1"/>
    <w:unhideWhenUsed/>
    <w:qFormat/>
    <w:uiPriority w:val="39"/>
    <w:pPr>
      <w:ind w:left="840" w:leftChars="400"/>
    </w:pPr>
  </w:style>
  <w:style w:type="paragraph" w:styleId="11">
    <w:name w:val="Plain Text"/>
    <w:basedOn w:val="1"/>
    <w:link w:val="59"/>
    <w:qFormat/>
    <w:uiPriority w:val="0"/>
    <w:pPr>
      <w:spacing w:line="240" w:lineRule="auto"/>
      <w:ind w:firstLine="0" w:firstLineChars="0"/>
    </w:pPr>
    <w:rPr>
      <w:rFonts w:hint="eastAsia" w:ascii="宋体" w:hAnsi="Courier New" w:cs="Courier New"/>
      <w:sz w:val="21"/>
      <w:szCs w:val="21"/>
    </w:rPr>
  </w:style>
  <w:style w:type="paragraph" w:styleId="12">
    <w:name w:val="Balloon Text"/>
    <w:basedOn w:val="1"/>
    <w:link w:val="33"/>
    <w:semiHidden/>
    <w:unhideWhenUsed/>
    <w:qFormat/>
    <w:uiPriority w:val="99"/>
    <w:pPr>
      <w:spacing w:line="240" w:lineRule="auto"/>
    </w:pPr>
    <w:rPr>
      <w:sz w:val="18"/>
      <w:szCs w:val="18"/>
    </w:rPr>
  </w:style>
  <w:style w:type="paragraph" w:styleId="13">
    <w:name w:val="footer"/>
    <w:basedOn w:val="1"/>
    <w:link w:val="32"/>
    <w:unhideWhenUsed/>
    <w:qFormat/>
    <w:uiPriority w:val="99"/>
    <w:pPr>
      <w:tabs>
        <w:tab w:val="center" w:pos="4153"/>
        <w:tab w:val="right" w:pos="8306"/>
      </w:tabs>
      <w:snapToGrid w:val="0"/>
      <w:spacing w:line="240" w:lineRule="auto"/>
      <w:jc w:val="left"/>
    </w:pPr>
    <w:rPr>
      <w:sz w:val="18"/>
      <w:szCs w:val="18"/>
    </w:rPr>
  </w:style>
  <w:style w:type="paragraph" w:styleId="14">
    <w:name w:val="header"/>
    <w:basedOn w:val="1"/>
    <w:link w:val="31"/>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5">
    <w:name w:val="toc 1"/>
    <w:basedOn w:val="1"/>
    <w:next w:val="1"/>
    <w:unhideWhenUsed/>
    <w:qFormat/>
    <w:uiPriority w:val="39"/>
  </w:style>
  <w:style w:type="paragraph" w:styleId="16">
    <w:name w:val="Subtitle"/>
    <w:basedOn w:val="1"/>
    <w:next w:val="1"/>
    <w:link w:val="64"/>
    <w:qFormat/>
    <w:uiPriority w:val="11"/>
    <w:pPr>
      <w:spacing w:line="240" w:lineRule="auto"/>
      <w:ind w:firstLine="0" w:firstLineChars="0"/>
      <w:jc w:val="center"/>
    </w:pPr>
    <w:rPr>
      <w:rFonts w:hint="eastAsia" w:ascii="等线 Light" w:hAnsi="等线 Light" w:cs="Times New Roman"/>
      <w:bCs/>
      <w:kern w:val="28"/>
      <w:sz w:val="21"/>
      <w:szCs w:val="32"/>
    </w:rPr>
  </w:style>
  <w:style w:type="paragraph" w:styleId="17">
    <w:name w:val="toc 2"/>
    <w:basedOn w:val="1"/>
    <w:next w:val="1"/>
    <w:unhideWhenUsed/>
    <w:qFormat/>
    <w:uiPriority w:val="39"/>
    <w:pPr>
      <w:ind w:left="420" w:leftChars="200"/>
    </w:pPr>
  </w:style>
  <w:style w:type="paragraph" w:styleId="18">
    <w:name w:val="annotation subject"/>
    <w:basedOn w:val="8"/>
    <w:next w:val="8"/>
    <w:link w:val="50"/>
    <w:semiHidden/>
    <w:unhideWhenUsed/>
    <w:qFormat/>
    <w:uiPriority w:val="99"/>
    <w:rPr>
      <w:b/>
      <w:bCs/>
    </w:rPr>
  </w:style>
  <w:style w:type="paragraph" w:styleId="19">
    <w:name w:val="Body Text First Indent"/>
    <w:basedOn w:val="9"/>
    <w:link w:val="66"/>
    <w:qFormat/>
    <w:uiPriority w:val="0"/>
    <w:pPr>
      <w:suppressAutoHyphens w:val="0"/>
      <w:adjustRightInd/>
      <w:spacing w:after="120" w:line="240" w:lineRule="auto"/>
      <w:ind w:firstLine="420"/>
      <w:jc w:val="both"/>
    </w:pPr>
    <w:rPr>
      <w:snapToGrid w:val="0"/>
      <w:spacing w:val="0"/>
      <w:sz w:val="21"/>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rPr>
  </w:style>
  <w:style w:type="character" w:styleId="24">
    <w:name w:val="Emphasis"/>
    <w:qFormat/>
    <w:uiPriority w:val="20"/>
    <w:rPr>
      <w:i/>
      <w:iCs/>
    </w:rPr>
  </w:style>
  <w:style w:type="character" w:styleId="25">
    <w:name w:val="Hyperlink"/>
    <w:basedOn w:val="22"/>
    <w:unhideWhenUsed/>
    <w:qFormat/>
    <w:uiPriority w:val="99"/>
    <w:rPr>
      <w:color w:val="0563C1" w:themeColor="hyperlink"/>
      <w:u w:val="single"/>
      <w14:textFill>
        <w14:solidFill>
          <w14:schemeClr w14:val="hlink"/>
        </w14:solidFill>
      </w14:textFill>
    </w:rPr>
  </w:style>
  <w:style w:type="character" w:styleId="26">
    <w:name w:val="annotation reference"/>
    <w:basedOn w:val="22"/>
    <w:semiHidden/>
    <w:unhideWhenUsed/>
    <w:qFormat/>
    <w:uiPriority w:val="99"/>
    <w:rPr>
      <w:sz w:val="21"/>
      <w:szCs w:val="21"/>
    </w:rPr>
  </w:style>
  <w:style w:type="character" w:customStyle="1" w:styleId="27">
    <w:name w:val="标题 1 字符"/>
    <w:basedOn w:val="22"/>
    <w:link w:val="2"/>
    <w:qFormat/>
    <w:uiPriority w:val="9"/>
    <w:rPr>
      <w:rFonts w:ascii="Times New Roman" w:hAnsi="Times New Roman" w:eastAsia="宋体"/>
      <w:b/>
      <w:bCs/>
      <w:kern w:val="44"/>
      <w:sz w:val="32"/>
      <w:szCs w:val="44"/>
    </w:rPr>
  </w:style>
  <w:style w:type="character" w:customStyle="1" w:styleId="28">
    <w:name w:val="标题 2 字符"/>
    <w:basedOn w:val="22"/>
    <w:link w:val="3"/>
    <w:qFormat/>
    <w:uiPriority w:val="9"/>
    <w:rPr>
      <w:rFonts w:ascii="Times New Roman" w:hAnsi="Times New Roman" w:eastAsia="宋体" w:cstheme="majorBidi"/>
      <w:b/>
      <w:bCs/>
      <w:color w:val="FF6600"/>
      <w:sz w:val="30"/>
      <w:szCs w:val="32"/>
    </w:rPr>
  </w:style>
  <w:style w:type="character" w:customStyle="1" w:styleId="29">
    <w:name w:val="标题 3 字符"/>
    <w:basedOn w:val="22"/>
    <w:link w:val="4"/>
    <w:qFormat/>
    <w:uiPriority w:val="9"/>
    <w:rPr>
      <w:rFonts w:ascii="Times New Roman" w:hAnsi="Times New Roman" w:eastAsia="宋体"/>
      <w:bCs/>
      <w:color w:val="0066FF"/>
      <w:sz w:val="28"/>
      <w:szCs w:val="32"/>
    </w:rPr>
  </w:style>
  <w:style w:type="character" w:customStyle="1" w:styleId="30">
    <w:name w:val="标题 4 字符"/>
    <w:basedOn w:val="22"/>
    <w:link w:val="5"/>
    <w:qFormat/>
    <w:uiPriority w:val="9"/>
    <w:rPr>
      <w:rFonts w:ascii="Times New Roman" w:hAnsi="Times New Roman" w:eastAsia="宋体" w:cstheme="majorBidi"/>
      <w:b/>
      <w:bCs/>
      <w:color w:val="00CC00"/>
      <w:sz w:val="24"/>
      <w:szCs w:val="28"/>
    </w:rPr>
  </w:style>
  <w:style w:type="character" w:customStyle="1" w:styleId="31">
    <w:name w:val="页眉 字符"/>
    <w:basedOn w:val="22"/>
    <w:link w:val="14"/>
    <w:qFormat/>
    <w:uiPriority w:val="99"/>
    <w:rPr>
      <w:rFonts w:ascii="Times New Roman" w:hAnsi="Times New Roman" w:eastAsia="宋体"/>
      <w:sz w:val="18"/>
      <w:szCs w:val="18"/>
    </w:rPr>
  </w:style>
  <w:style w:type="character" w:customStyle="1" w:styleId="32">
    <w:name w:val="页脚 字符"/>
    <w:basedOn w:val="22"/>
    <w:link w:val="13"/>
    <w:qFormat/>
    <w:uiPriority w:val="99"/>
    <w:rPr>
      <w:rFonts w:ascii="Times New Roman" w:hAnsi="Times New Roman" w:eastAsia="宋体"/>
      <w:sz w:val="18"/>
      <w:szCs w:val="18"/>
    </w:rPr>
  </w:style>
  <w:style w:type="character" w:customStyle="1" w:styleId="33">
    <w:name w:val="批注框文本 字符"/>
    <w:basedOn w:val="22"/>
    <w:link w:val="12"/>
    <w:semiHidden/>
    <w:qFormat/>
    <w:uiPriority w:val="99"/>
    <w:rPr>
      <w:rFonts w:ascii="Times New Roman" w:hAnsi="Times New Roman" w:eastAsia="宋体"/>
      <w:sz w:val="18"/>
      <w:szCs w:val="18"/>
    </w:rPr>
  </w:style>
  <w:style w:type="paragraph" w:styleId="34">
    <w:name w:val="List Paragraph"/>
    <w:basedOn w:val="1"/>
    <w:qFormat/>
    <w:uiPriority w:val="34"/>
    <w:pPr>
      <w:ind w:firstLine="420"/>
    </w:pPr>
  </w:style>
  <w:style w:type="paragraph" w:customStyle="1" w:styleId="35">
    <w:name w:val="TOC 标题1"/>
    <w:basedOn w:val="2"/>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Cs w:val="32"/>
    </w:rPr>
  </w:style>
  <w:style w:type="paragraph" w:customStyle="1" w:styleId="36">
    <w:name w:val="（1）"/>
    <w:basedOn w:val="1"/>
    <w:link w:val="37"/>
    <w:qFormat/>
    <w:uiPriority w:val="0"/>
    <w:pPr>
      <w:numPr>
        <w:ilvl w:val="0"/>
        <w:numId w:val="2"/>
      </w:numPr>
      <w:ind w:left="480" w:hanging="480" w:hangingChars="200"/>
      <w:contextualSpacing/>
    </w:pPr>
  </w:style>
  <w:style w:type="character" w:customStyle="1" w:styleId="37">
    <w:name w:val="（1） 字符"/>
    <w:basedOn w:val="22"/>
    <w:link w:val="36"/>
    <w:qFormat/>
    <w:uiPriority w:val="0"/>
    <w:rPr>
      <w:rFonts w:ascii="Times New Roman" w:hAnsi="Times New Roman" w:eastAsia="宋体"/>
      <w:sz w:val="24"/>
    </w:rPr>
  </w:style>
  <w:style w:type="character" w:customStyle="1" w:styleId="38">
    <w:name w:val="标题 6 字符"/>
    <w:basedOn w:val="22"/>
    <w:link w:val="6"/>
    <w:semiHidden/>
    <w:qFormat/>
    <w:uiPriority w:val="9"/>
    <w:rPr>
      <w:rFonts w:asciiTheme="majorHAnsi" w:hAnsiTheme="majorHAnsi" w:eastAsiaTheme="majorEastAsia" w:cstheme="majorBidi"/>
      <w:b/>
      <w:bCs/>
      <w:sz w:val="24"/>
      <w:szCs w:val="24"/>
    </w:rPr>
  </w:style>
  <w:style w:type="paragraph" w:customStyle="1" w:styleId="39">
    <w:name w:val="表头"/>
    <w:basedOn w:val="1"/>
    <w:qFormat/>
    <w:uiPriority w:val="0"/>
    <w:pPr>
      <w:spacing w:before="50" w:beforeLines="50" w:after="50" w:afterLines="50" w:line="240" w:lineRule="auto"/>
      <w:ind w:firstLine="0" w:firstLineChars="0"/>
      <w:jc w:val="center"/>
    </w:pPr>
    <w:rPr>
      <w:rFonts w:ascii="宋体" w:hAnsi="宋体" w:cs="宋体"/>
      <w:b/>
      <w:snapToGrid w:val="0"/>
      <w:kern w:val="0"/>
      <w:sz w:val="21"/>
      <w:szCs w:val="24"/>
    </w:rPr>
  </w:style>
  <w:style w:type="paragraph" w:customStyle="1" w:styleId="40">
    <w:name w:val="表格"/>
    <w:link w:val="41"/>
    <w:qFormat/>
    <w:uiPriority w:val="0"/>
    <w:pPr>
      <w:widowControl w:val="0"/>
      <w:adjustRightInd w:val="0"/>
      <w:spacing w:line="360" w:lineRule="auto"/>
      <w:jc w:val="center"/>
    </w:pPr>
    <w:rPr>
      <w:rFonts w:ascii="宋体" w:hAnsi="Times New Roman" w:eastAsia="宋体" w:cs="Times New Roman"/>
      <w:sz w:val="21"/>
      <w:lang w:val="en-US" w:eastAsia="zh-CN" w:bidi="ar-SA"/>
    </w:rPr>
  </w:style>
  <w:style w:type="character" w:customStyle="1" w:styleId="41">
    <w:name w:val="表格 Char"/>
    <w:link w:val="40"/>
    <w:qFormat/>
    <w:locked/>
    <w:uiPriority w:val="0"/>
    <w:rPr>
      <w:rFonts w:ascii="宋体" w:hAnsi="Times New Roman" w:eastAsia="宋体" w:cs="Times New Roman"/>
      <w:kern w:val="0"/>
      <w:szCs w:val="20"/>
    </w:rPr>
  </w:style>
  <w:style w:type="paragraph" w:customStyle="1" w:styleId="42">
    <w:name w:val="正文2"/>
    <w:basedOn w:val="1"/>
    <w:link w:val="43"/>
    <w:qFormat/>
    <w:uiPriority w:val="0"/>
    <w:rPr>
      <w:rFonts w:ascii="宋体" w:hAnsi="宋体" w:cs="Times New Roman"/>
      <w:szCs w:val="24"/>
    </w:rPr>
  </w:style>
  <w:style w:type="character" w:customStyle="1" w:styleId="43">
    <w:name w:val="正文2 字符"/>
    <w:link w:val="42"/>
    <w:qFormat/>
    <w:uiPriority w:val="0"/>
    <w:rPr>
      <w:rFonts w:ascii="宋体" w:hAnsi="宋体" w:eastAsia="宋体" w:cs="Times New Roman"/>
      <w:sz w:val="24"/>
      <w:szCs w:val="24"/>
    </w:rPr>
  </w:style>
  <w:style w:type="character" w:customStyle="1" w:styleId="44">
    <w:name w:val="标准 正文 QJJ Char Char"/>
    <w:link w:val="45"/>
    <w:qFormat/>
    <w:uiPriority w:val="99"/>
    <w:rPr>
      <w:rFonts w:ascii="宋体" w:hAnsi="Arial"/>
      <w:spacing w:val="20"/>
      <w:sz w:val="24"/>
      <w:szCs w:val="24"/>
    </w:rPr>
  </w:style>
  <w:style w:type="paragraph" w:customStyle="1" w:styleId="45">
    <w:name w:val="标准 正文 QJJ"/>
    <w:basedOn w:val="1"/>
    <w:link w:val="44"/>
    <w:qFormat/>
    <w:uiPriority w:val="99"/>
    <w:pPr>
      <w:autoSpaceDE w:val="0"/>
      <w:autoSpaceDN w:val="0"/>
      <w:adjustRightInd w:val="0"/>
      <w:spacing w:line="520" w:lineRule="exact"/>
      <w:ind w:firstLine="480"/>
      <w:jc w:val="left"/>
    </w:pPr>
    <w:rPr>
      <w:rFonts w:ascii="宋体" w:hAnsi="Arial" w:eastAsiaTheme="minorEastAsia"/>
      <w:spacing w:val="20"/>
      <w:szCs w:val="24"/>
    </w:rPr>
  </w:style>
  <w:style w:type="paragraph" w:customStyle="1" w:styleId="46">
    <w:name w:val="图表"/>
    <w:basedOn w:val="1"/>
    <w:link w:val="47"/>
    <w:qFormat/>
    <w:uiPriority w:val="0"/>
    <w:pPr>
      <w:spacing w:line="240" w:lineRule="auto"/>
      <w:ind w:firstLine="0" w:firstLineChars="0"/>
      <w:jc w:val="center"/>
    </w:pPr>
  </w:style>
  <w:style w:type="character" w:customStyle="1" w:styleId="47">
    <w:name w:val="图表 字符"/>
    <w:basedOn w:val="22"/>
    <w:link w:val="46"/>
    <w:qFormat/>
    <w:uiPriority w:val="0"/>
    <w:rPr>
      <w:rFonts w:ascii="Times New Roman" w:hAnsi="Times New Roman" w:eastAsia="宋体"/>
      <w:sz w:val="24"/>
    </w:rPr>
  </w:style>
  <w:style w:type="table" w:customStyle="1" w:styleId="48">
    <w:name w:val="网格型1"/>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9">
    <w:name w:val="批注文字 字符"/>
    <w:basedOn w:val="22"/>
    <w:link w:val="8"/>
    <w:semiHidden/>
    <w:qFormat/>
    <w:uiPriority w:val="99"/>
    <w:rPr>
      <w:rFonts w:ascii="Times New Roman" w:hAnsi="Times New Roman" w:eastAsia="宋体"/>
      <w:sz w:val="24"/>
    </w:rPr>
  </w:style>
  <w:style w:type="character" w:customStyle="1" w:styleId="50">
    <w:name w:val="批注主题 字符"/>
    <w:basedOn w:val="49"/>
    <w:link w:val="18"/>
    <w:semiHidden/>
    <w:qFormat/>
    <w:uiPriority w:val="99"/>
    <w:rPr>
      <w:rFonts w:ascii="Times New Roman" w:hAnsi="Times New Roman" w:eastAsia="宋体"/>
      <w:b/>
      <w:bCs/>
      <w:sz w:val="24"/>
    </w:rPr>
  </w:style>
  <w:style w:type="character" w:customStyle="1" w:styleId="51">
    <w:name w:val="未处理的提及1"/>
    <w:basedOn w:val="22"/>
    <w:semiHidden/>
    <w:unhideWhenUsed/>
    <w:qFormat/>
    <w:uiPriority w:val="99"/>
    <w:rPr>
      <w:color w:val="605E5C"/>
      <w:shd w:val="clear" w:color="auto" w:fill="E1DFDD"/>
    </w:rPr>
  </w:style>
  <w:style w:type="character" w:customStyle="1" w:styleId="52">
    <w:name w:val="正文文本 字符"/>
    <w:basedOn w:val="22"/>
    <w:link w:val="9"/>
    <w:qFormat/>
    <w:uiPriority w:val="0"/>
    <w:rPr>
      <w:rFonts w:ascii="Times New Roman" w:hAnsi="Times New Roman" w:eastAsia="宋体" w:cs="Times New Roman"/>
      <w:spacing w:val="-4"/>
      <w:kern w:val="0"/>
      <w:sz w:val="24"/>
      <w:szCs w:val="20"/>
    </w:rPr>
  </w:style>
  <w:style w:type="character" w:customStyle="1" w:styleId="53">
    <w:name w:val="！正文 Char"/>
    <w:link w:val="54"/>
    <w:qFormat/>
    <w:locked/>
    <w:uiPriority w:val="0"/>
    <w:rPr>
      <w:rFonts w:ascii="Arial" w:hAnsi="Arial" w:cs="宋体"/>
      <w:sz w:val="24"/>
      <w:szCs w:val="24"/>
    </w:rPr>
  </w:style>
  <w:style w:type="paragraph" w:customStyle="1" w:styleId="54">
    <w:name w:val="！正文"/>
    <w:basedOn w:val="1"/>
    <w:link w:val="53"/>
    <w:qFormat/>
    <w:uiPriority w:val="0"/>
    <w:pPr>
      <w:ind w:firstLine="480"/>
    </w:pPr>
    <w:rPr>
      <w:rFonts w:ascii="Arial" w:hAnsi="Arial" w:cs="宋体" w:eastAsiaTheme="minorEastAsia"/>
      <w:szCs w:val="24"/>
    </w:rPr>
  </w:style>
  <w:style w:type="paragraph" w:customStyle="1" w:styleId="55">
    <w:name w:val="1、"/>
    <w:basedOn w:val="1"/>
    <w:link w:val="56"/>
    <w:qFormat/>
    <w:uiPriority w:val="0"/>
    <w:rPr>
      <w:sz w:val="28"/>
    </w:rPr>
  </w:style>
  <w:style w:type="character" w:customStyle="1" w:styleId="56">
    <w:name w:val="1、 字符"/>
    <w:basedOn w:val="22"/>
    <w:link w:val="55"/>
    <w:qFormat/>
    <w:uiPriority w:val="0"/>
    <w:rPr>
      <w:rFonts w:ascii="Times New Roman" w:hAnsi="Times New Roman" w:eastAsia="宋体"/>
      <w:sz w:val="28"/>
    </w:rPr>
  </w:style>
  <w:style w:type="paragraph" w:customStyle="1" w:styleId="57">
    <w:name w:val="表格，内容"/>
    <w:basedOn w:val="1"/>
    <w:qFormat/>
    <w:uiPriority w:val="0"/>
    <w:pPr>
      <w:spacing w:before="40" w:after="40" w:line="240" w:lineRule="exact"/>
      <w:ind w:firstLine="0" w:firstLineChars="0"/>
      <w:jc w:val="center"/>
    </w:pPr>
    <w:rPr>
      <w:rFonts w:ascii="宋体" w:cs="Times New Roman"/>
      <w:spacing w:val="6"/>
      <w:kern w:val="44"/>
      <w:sz w:val="21"/>
      <w:szCs w:val="24"/>
    </w:rPr>
  </w:style>
  <w:style w:type="table" w:customStyle="1" w:styleId="58">
    <w:name w:val="Table Normal"/>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character" w:customStyle="1" w:styleId="59">
    <w:name w:val="纯文本 字符"/>
    <w:basedOn w:val="22"/>
    <w:link w:val="11"/>
    <w:qFormat/>
    <w:uiPriority w:val="0"/>
    <w:rPr>
      <w:rFonts w:ascii="宋体" w:hAnsi="Courier New" w:eastAsia="宋体" w:cs="Courier New"/>
      <w:szCs w:val="21"/>
    </w:rPr>
  </w:style>
  <w:style w:type="paragraph" w:customStyle="1" w:styleId="60">
    <w:name w:val="3eee"/>
    <w:basedOn w:val="1"/>
    <w:link w:val="61"/>
    <w:qFormat/>
    <w:uiPriority w:val="0"/>
    <w:pPr>
      <w:spacing w:line="440" w:lineRule="exact"/>
      <w:ind w:firstLine="480"/>
    </w:pPr>
    <w:rPr>
      <w:rFonts w:ascii="宋体" w:hAnsi="宋体" w:cs="宋体"/>
      <w:szCs w:val="24"/>
    </w:rPr>
  </w:style>
  <w:style w:type="character" w:customStyle="1" w:styleId="61">
    <w:name w:val="3eee Char"/>
    <w:basedOn w:val="22"/>
    <w:link w:val="60"/>
    <w:qFormat/>
    <w:uiPriority w:val="0"/>
    <w:rPr>
      <w:rFonts w:ascii="宋体" w:hAnsi="宋体" w:eastAsia="宋体" w:cs="宋体"/>
      <w:sz w:val="24"/>
      <w:szCs w:val="24"/>
    </w:rPr>
  </w:style>
  <w:style w:type="paragraph" w:customStyle="1" w:styleId="62">
    <w:name w:val="TOC 标题2"/>
    <w:basedOn w:val="2"/>
    <w:next w:val="1"/>
    <w:unhideWhenUsed/>
    <w:qFormat/>
    <w:uiPriority w:val="39"/>
    <w:pPr>
      <w:numPr>
        <w:numId w:val="0"/>
      </w:numPr>
      <w:spacing w:before="340" w:beforeLines="0" w:after="330" w:afterLines="0" w:line="578" w:lineRule="auto"/>
      <w:ind w:firstLine="200" w:firstLineChars="200"/>
      <w:jc w:val="both"/>
      <w:outlineLvl w:val="9"/>
    </w:pPr>
    <w:rPr>
      <w:sz w:val="44"/>
    </w:rPr>
  </w:style>
  <w:style w:type="paragraph" w:customStyle="1" w:styleId="63">
    <w:name w:val="工可正文"/>
    <w:basedOn w:val="1"/>
    <w:qFormat/>
    <w:uiPriority w:val="0"/>
    <w:pPr>
      <w:suppressAutoHyphens/>
      <w:autoSpaceDE w:val="0"/>
      <w:autoSpaceDN w:val="0"/>
    </w:pPr>
    <w:rPr>
      <w:rFonts w:cs="Times New Roman"/>
      <w:kern w:val="0"/>
      <w:szCs w:val="24"/>
    </w:rPr>
  </w:style>
  <w:style w:type="character" w:customStyle="1" w:styleId="64">
    <w:name w:val="副标题 字符"/>
    <w:basedOn w:val="22"/>
    <w:link w:val="16"/>
    <w:qFormat/>
    <w:uiPriority w:val="11"/>
    <w:rPr>
      <w:rFonts w:ascii="等线 Light" w:hAnsi="等线 Light"/>
      <w:bCs/>
      <w:kern w:val="28"/>
      <w:sz w:val="21"/>
      <w:szCs w:val="32"/>
    </w:rPr>
  </w:style>
  <w:style w:type="paragraph" w:customStyle="1" w:styleId="65">
    <w:name w:val="j-正文"/>
    <w:basedOn w:val="1"/>
    <w:qFormat/>
    <w:uiPriority w:val="0"/>
    <w:pPr>
      <w:tabs>
        <w:tab w:val="left" w:pos="2857"/>
      </w:tabs>
      <w:snapToGrid w:val="0"/>
      <w:jc w:val="left"/>
    </w:pPr>
    <w:rPr>
      <w:rFonts w:ascii="宋体" w:hAnsi="宋体" w:cs="宋体"/>
      <w:bCs/>
      <w:szCs w:val="28"/>
    </w:rPr>
  </w:style>
  <w:style w:type="character" w:customStyle="1" w:styleId="66">
    <w:name w:val="正文文本首行缩进 字符"/>
    <w:basedOn w:val="52"/>
    <w:link w:val="19"/>
    <w:qFormat/>
    <w:uiPriority w:val="0"/>
    <w:rPr>
      <w:rFonts w:ascii="Times New Roman" w:hAnsi="Times New Roman" w:eastAsia="宋体" w:cs="Times New Roman"/>
      <w:snapToGrid w:val="0"/>
      <w:spacing w:val="-4"/>
      <w:kern w:val="0"/>
      <w:sz w:val="21"/>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emf"/><Relationship Id="rId32" Type="http://schemas.openxmlformats.org/officeDocument/2006/relationships/image" Target="media/image12.emf"/><Relationship Id="rId31" Type="http://schemas.openxmlformats.org/officeDocument/2006/relationships/image" Target="media/image11.wmf"/><Relationship Id="rId30" Type="http://schemas.openxmlformats.org/officeDocument/2006/relationships/oleObject" Target="embeddings/oleObject3.bin"/><Relationship Id="rId3" Type="http://schemas.openxmlformats.org/officeDocument/2006/relationships/footnotes" Target="footnotes.xml"/><Relationship Id="rId29" Type="http://schemas.openxmlformats.org/officeDocument/2006/relationships/image" Target="media/image10.wmf"/><Relationship Id="rId28" Type="http://schemas.openxmlformats.org/officeDocument/2006/relationships/oleObject" Target="embeddings/oleObject2.bin"/><Relationship Id="rId27" Type="http://schemas.openxmlformats.org/officeDocument/2006/relationships/image" Target="media/image9.wmf"/><Relationship Id="rId26" Type="http://schemas.openxmlformats.org/officeDocument/2006/relationships/oleObject" Target="embeddings/oleObject1.bin"/><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9E1FEA-7C4E-4537-B8C2-0AC7ED9C3A2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19</Pages>
  <Words>5707</Words>
  <Characters>6801</Characters>
  <Lines>141</Lines>
  <Paragraphs>39</Paragraphs>
  <TotalTime>1</TotalTime>
  <ScaleCrop>false</ScaleCrop>
  <LinksUpToDate>false</LinksUpToDate>
  <CharactersWithSpaces>6942</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2021-07-10T11:15:00Z</dcterms:created>
  <dc:creator>PC</dc:creator>
  <cp:lastModifiedBy>WPS_1615093619</cp:lastModifiedBy>
  <cp:lastPrinted>2025-04-16T01:28:49Z</cp:lastPrinted>
  <dcterms:modified xsi:type="dcterms:W3CDTF">2025-04-16T01:29:50Z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D337B7B57EE944488A1BF6294EC0D0BC</vt:lpwstr>
  </property>
  <property fmtid="{D5CDD505-2E9C-101B-9397-08002B2CF9AE}" pid="4" name="KSOTemplateDocerSaveRecord">
    <vt:lpwstr>eyJoZGlkIjoiNmNjMWIzZTY1ZDM3ZjhiNzQzMGI1M2Y4Yzk4NWRlOTUiLCJ1c2VySWQiOiIxMTY5MDkyNTI1In0=</vt:lpwstr>
  </property>
</Properties>
</file>